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УИД </w:t>
      </w:r>
      <w:r>
        <w:rPr>
          <w:b w:val="0"/>
          <w:bCs w:val="0"/>
          <w:i w:val="0"/>
          <w:sz w:val="28"/>
          <w:szCs w:val="28"/>
        </w:rPr>
        <w:t>16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0143-</w:t>
      </w:r>
      <w:r>
        <w:rPr>
          <w:rStyle w:val="cat-PhoneNumbergrp-33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34rplc-1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04</w:t>
      </w:r>
    </w:p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 Дело № 1-</w:t>
      </w:r>
      <w:r>
        <w:rPr>
          <w:b w:val="0"/>
          <w:bCs w:val="0"/>
          <w:i w:val="0"/>
          <w:sz w:val="28"/>
          <w:szCs w:val="28"/>
        </w:rPr>
        <w:t>22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2</w:t>
      </w:r>
    </w:p>
    <w:p>
      <w:pPr>
        <w:keepNext/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</w:p>
    <w:p>
      <w:pPr>
        <w:keepNext/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widowControl w:val="0"/>
        <w:spacing w:before="0" w:after="0"/>
        <w:ind w:firstLine="709"/>
        <w:jc w:val="center"/>
        <w:rPr>
          <w:sz w:val="16"/>
          <w:szCs w:val="16"/>
        </w:rPr>
      </w:pPr>
    </w:p>
    <w:p>
      <w:pPr>
        <w:widowControl w:val="0"/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 составе председательствующего мирового судьи судебного участка № 1 по Апастовскому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Каримуллина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Style w:val="cat-FIOgrp-2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ордер </w:t>
      </w:r>
      <w:r>
        <w:rPr>
          <w:rFonts w:ascii="Times New Roman" w:eastAsia="Times New Roman" w:hAnsi="Times New Roman" w:cs="Times New Roman"/>
          <w:sz w:val="28"/>
          <w:szCs w:val="28"/>
        </w:rPr>
        <w:t>№ 25</w:t>
      </w:r>
      <w:r>
        <w:rPr>
          <w:rFonts w:ascii="Times New Roman" w:eastAsia="Times New Roman" w:hAnsi="Times New Roman" w:cs="Times New Roman"/>
          <w:sz w:val="28"/>
          <w:szCs w:val="28"/>
        </w:rPr>
        <w:t>9280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здании суда уголовное дело по обвинению</w:t>
      </w:r>
    </w:p>
    <w:p>
      <w:pPr>
        <w:widowControl w:val="0"/>
        <w:spacing w:before="0" w:after="0"/>
        <w:ind w:left="2410"/>
        <w:jc w:val="both"/>
        <w:rPr>
          <w:sz w:val="28"/>
          <w:szCs w:val="28"/>
        </w:rPr>
      </w:pPr>
      <w:r>
        <w:rPr>
          <w:rStyle w:val="cat-FIOgrp-1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неполным </w:t>
      </w:r>
      <w:r>
        <w:rPr>
          <w:rFonts w:ascii="Times New Roman" w:eastAsia="Times New Roman" w:hAnsi="Times New Roman" w:cs="Times New Roman"/>
          <w:sz w:val="28"/>
          <w:szCs w:val="28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военнообязанн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шестерых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состоящего на учете </w:t>
      </w:r>
      <w:r>
        <w:rPr>
          <w:rFonts w:ascii="Times New Roman" w:eastAsia="Times New Roman" w:hAnsi="Times New Roman" w:cs="Times New Roman"/>
          <w:sz w:val="28"/>
          <w:szCs w:val="28"/>
        </w:rPr>
        <w:t>у врач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психиатра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судимость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сужден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Апастовским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,б</w:t>
      </w:r>
      <w:r>
        <w:rPr>
          <w:rFonts w:ascii="Times New Roman" w:eastAsia="Times New Roman" w:hAnsi="Times New Roman" w:cs="Times New Roman"/>
          <w:sz w:val="28"/>
          <w:szCs w:val="28"/>
        </w:rPr>
        <w:t>»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ст.158 УК РФ к наказанию в виде обязательных работ на срок 200 часов. Приговор вступил в законную силу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не отбытая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144 часа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139 </w:t>
      </w:r>
      <w:r>
        <w:rPr>
          <w:rFonts w:ascii="Times New Roman" w:eastAsia="Times New Roman" w:hAnsi="Times New Roman" w:cs="Times New Roman"/>
          <w:sz w:val="28"/>
          <w:szCs w:val="28"/>
        </w:rPr>
        <w:t>УК РФ,</w:t>
      </w:r>
    </w:p>
    <w:p>
      <w:pPr>
        <w:widowControl w:val="0"/>
        <w:spacing w:before="0" w:after="0"/>
        <w:ind w:firstLine="709"/>
        <w:jc w:val="both"/>
        <w:rPr>
          <w:sz w:val="16"/>
          <w:szCs w:val="16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Петров В.Г. совершил преступление, предусмотренное ч. 1 ст. 139 УК РФ, при следующих обстоятельствах: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30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31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Петров В.Г.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пришел к дому </w:t>
      </w:r>
      <w:r>
        <w:rPr>
          <w:rStyle w:val="cat-FIOgrp-2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целью незаконного проникновения в чужое жилище, перепрыгнув через забор, попал на придомовую территорию дома, после чего подошел к входной двери дома и </w:t>
      </w:r>
      <w:r>
        <w:rPr>
          <w:rFonts w:ascii="Times New Roman" w:eastAsia="Times New Roman" w:hAnsi="Times New Roman" w:cs="Times New Roman"/>
          <w:sz w:val="28"/>
          <w:szCs w:val="28"/>
        </w:rPr>
        <w:t>с силой дернув на себя руками ручку входной двери, открыл указанную дверь,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 проник через открытую им дверь в жилище </w:t>
      </w:r>
      <w:r>
        <w:rPr>
          <w:rStyle w:val="cat-FIOgrp-2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вышеуказанному адресу,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разрешения и против воли </w:t>
      </w:r>
      <w:r>
        <w:rPr>
          <w:rStyle w:val="cat-FIOgrp-2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нарушив тем самым гарантированное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>
        <w:rPr>
          <w:rStyle w:val="cat-FIOgrp-2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неприкосновенность жилища так, как 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25 Конституции Российской Федерации никто не вправе проникать в жилище против воли проживающих в нем лиц, иначе как в случаях, установленных федеральным законом или на основании судебного решения.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свою в совершении преступления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оглашенных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ст. 276 УПК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показаниях </w:t>
      </w:r>
      <w:r>
        <w:rPr>
          <w:rFonts w:ascii="Times New Roman" w:eastAsia="Times New Roman" w:hAnsi="Times New Roman" w:cs="Times New Roman"/>
          <w:sz w:val="28"/>
          <w:szCs w:val="28"/>
        </w:rPr>
        <w:t>показал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Style w:val="cat-Dategrp-14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Style w:val="cat-Timegrp-32rplc-3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надежде разжиться спиртными напитками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незаконно проник в жилище </w:t>
      </w:r>
      <w:r>
        <w:rPr>
          <w:rStyle w:val="cat-FIOgrp-2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РТ,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перепрыгнув через забор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прошел во двор дома. Дверь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ведущая в сени дома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была заперта. Пройдя в сени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подошел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двери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ведущей в жилую часть дома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была заперта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Далее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с силой дернул на себя ручку входной двери и открыл входную дверь, ведущую в жилое помещение дома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проникнув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жилую часть дома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доме никого не было, пробыв там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какое то время он ушел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признательных показаний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2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инкриминируемого преступления нашла свое подтверждение исследованными в судебном заседании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глашенными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ст. 281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предварительном следствии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 и прожива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указанному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со своей супругой </w:t>
      </w:r>
      <w:r>
        <w:rPr>
          <w:rStyle w:val="cat-FIOgrp-25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дом принадлежит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на праве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FIOgrp-26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знает, так как он является жителем их села.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В.Г. у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в гостях никогда не бывал.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Вещей </w:t>
      </w:r>
      <w:r>
        <w:rPr>
          <w:rFonts w:ascii="Times New Roman" w:eastAsia="Times New Roman" w:hAnsi="Times New Roman" w:cs="Times New Roman"/>
          <w:sz w:val="28"/>
          <w:szCs w:val="28"/>
        </w:rPr>
        <w:t>и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доме нет.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ничего не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себе в гости </w:t>
      </w:r>
      <w:r>
        <w:rPr>
          <w:rFonts w:ascii="Times New Roman" w:eastAsia="Times New Roman" w:hAnsi="Times New Roman" w:cs="Times New Roman"/>
          <w:sz w:val="28"/>
          <w:szCs w:val="28"/>
        </w:rPr>
        <w:t>не приглашал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16 часов они с супругой вышли в сарай, кормить домашних животных.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Сарай находится примерно в 50 м сзади их дома и поэтому оттуда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видно пришел ли к ним кто-либо.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выходе </w:t>
      </w:r>
      <w:r>
        <w:rPr>
          <w:rFonts w:ascii="Times New Roman" w:eastAsia="Times New Roman" w:hAnsi="Times New Roman" w:cs="Times New Roman"/>
          <w:sz w:val="28"/>
          <w:szCs w:val="28"/>
        </w:rPr>
        <w:t>из дома,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запер металлическим ключом входную дверь, ведущую в жилую часть дома на металлический встроенный замок.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17 часов, когда они с женой вернулись обратно к дому, то увидели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входная дверь, ведущая в жилую часть дома, была открыта.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увидел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из их двора</w:t>
      </w:r>
      <w:r>
        <w:rPr>
          <w:rFonts w:ascii="Times New Roman" w:eastAsia="Times New Roman" w:hAnsi="Times New Roman" w:cs="Times New Roman"/>
          <w:sz w:val="28"/>
          <w:szCs w:val="28"/>
        </w:rPr>
        <w:t>, открыв изнутри ворота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выбежал на </w:t>
      </w:r>
      <w:r>
        <w:rPr>
          <w:rStyle w:val="cat-Addressgrp-8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вслед за ним на улицу и увидел, как Петров В.Г. побежал в сторону своего дома.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точно узнал и с уверенностью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сказать, что это был именно он. Впоследствии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осмотре запорного 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увидел, что гвозди, которыми была приколочена запорная планка замка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немного вышли из дверной коробки. Видимо поэтому входная дверь открылась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несмотря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 закрыл.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ничего не похищено. Повреждения запорного устройства входной двери были не значительными,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устранил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sz w:val="28"/>
          <w:szCs w:val="28"/>
        </w:rPr>
        <w:t>о данному поводу претензий к Петрову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не причинен.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привлечь к уголовной ответственности </w:t>
      </w:r>
      <w:r>
        <w:rPr>
          <w:rStyle w:val="cat-FIOgrp-26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незаконное проникновение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жилище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31-34/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оглашенными в порядке ст. 281 УПК РФ,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показаниями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предварительном следствии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дала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аналогичные показаниям потерпевшего </w:t>
      </w:r>
      <w:r>
        <w:rPr>
          <w:rStyle w:val="cat-FIOgrp-24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47-50/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Объективность 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 и потерпевших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вызывают сомнений, поскольку они в целом по фактически значимым обстоятельствам дела являются последовательными, в деталях согласуются между собой и подтверждаются другими доказательствами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оснований для оговора </w:t>
      </w:r>
      <w:r>
        <w:rPr>
          <w:rStyle w:val="cat-FIOgrp-26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имеется. Неприязненные отношения между ними отсутствуют. Каких-либо сведений о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даче показаний в отношении подсудимого,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равно как и существенных противоречий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их показаниях по обстоятельствам дела, ставящих эти показания под сомнение,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могли повлиять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выводы суда о виновности </w:t>
      </w:r>
      <w:r>
        <w:rPr>
          <w:rStyle w:val="cat-FIOgrp-26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установлено.</w:t>
      </w:r>
    </w:p>
    <w:p>
      <w:pPr>
        <w:widowControl w:val="0"/>
        <w:spacing w:before="0" w:after="0"/>
        <w:ind w:firstLine="61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соответствии с правовой позицией, изложенной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353479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Конституционного Суда РФ от </w:t>
      </w:r>
      <w:r>
        <w:rPr>
          <w:rStyle w:val="cat-Dategrp-15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44-О, недопустимо воспроизведение в ходе судебного разбирательства содержания показаний лиц, данных в ходе досудебного производства по уголовному делу, путем допроса в качестве свидетеля должностных лиц правоохранительных органов об обстоятельствах совершенного преступления, о которых им стало известно в связи с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служебных обязанностей.</w:t>
      </w:r>
    </w:p>
    <w:p>
      <w:pPr>
        <w:widowControl w:val="0"/>
        <w:spacing w:before="0" w:after="0"/>
        <w:ind w:firstLine="61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числа доказательств виновности </w:t>
      </w:r>
      <w:r>
        <w:rPr>
          <w:rStyle w:val="cat-FIOgrp-26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воспроизведения им сведений, сообщенных ему осужденным в ходе беседы, поскольку они не могут быть использованы в качестве доказательства его виновности, так как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178/entry/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75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УПК РФ относятся к недопустимым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само по себе не уменьшает объем обвинения, не влияет на доказанность фактических обстоятельств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Петровым В.Г. </w:t>
      </w:r>
      <w:r>
        <w:rPr>
          <w:rFonts w:ascii="Times New Roman" w:eastAsia="Times New Roman" w:hAnsi="Times New Roman" w:cs="Times New Roman"/>
          <w:sz w:val="28"/>
          <w:szCs w:val="28"/>
        </w:rPr>
        <w:t>деяния и поэтому не влечет за собой смягчение наказания.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виновность </w:t>
      </w:r>
      <w:r>
        <w:rPr>
          <w:rStyle w:val="cat-FIOgrp-26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указанного преступления,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>
        <w:rPr>
          <w:rStyle w:val="cat-Dategrp-16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был осмотрен дом по адресу: </w:t>
      </w:r>
      <w:r>
        <w:rPr>
          <w:rStyle w:val="cat-Addressgrp-5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который незаконно проник Петров В.Г. /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13-22/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заявлениями </w:t>
      </w:r>
      <w:r>
        <w:rPr>
          <w:rStyle w:val="cat-FIOgrp-24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17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просит привлечь к уголовной ответственности </w:t>
      </w:r>
      <w:r>
        <w:rPr>
          <w:rStyle w:val="cat-FIOgrp-26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 проникшего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жилище по адресу: </w:t>
      </w:r>
      <w:r>
        <w:rPr>
          <w:rStyle w:val="cat-Addressgrp-5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>, 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государственной регистрации права серия 16-АА №226812, согласно которому </w:t>
      </w:r>
      <w:r>
        <w:rPr>
          <w:rStyle w:val="cat-FIOgrp-28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собственником дома расположенного по адресу: </w:t>
      </w:r>
      <w:r>
        <w:rPr>
          <w:rStyle w:val="cat-Addressgrp-5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26/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приведенные доказательства в их совокупности, сопоставив их с показаниями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письменными материалами дела, суд признает их относимыми, допустимыми, достоверными и достаточными для признания </w:t>
      </w:r>
      <w:r>
        <w:rPr>
          <w:rStyle w:val="cat-FIOgrp-26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указанного преступления. </w:t>
      </w:r>
      <w:r>
        <w:rPr>
          <w:rFonts w:ascii="Times New Roman" w:eastAsia="Times New Roman" w:hAnsi="Times New Roman" w:cs="Times New Roman"/>
          <w:sz w:val="28"/>
          <w:szCs w:val="28"/>
        </w:rPr>
        <w:t>Все следственные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законодательства, к</w:t>
      </w:r>
      <w:r>
        <w:rPr>
          <w:rFonts w:ascii="Times New Roman" w:eastAsia="Times New Roman" w:hAnsi="Times New Roman" w:cs="Times New Roman"/>
          <w:sz w:val="28"/>
          <w:szCs w:val="28"/>
        </w:rPr>
        <w:t>аких-либо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собирании доказательств со стороны органов предварительного следствия не допущено.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аким образом, суд считает, что представленных доказательств достаточно для установления обстоятельств, указанных в ст. 73 УПК РФ.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у психиатра не состоит. С учетом обстоятельств совершения подсудимым преступления и данных о его личности, а также его поведения в судебном заседании, суд признает подсудимого </w:t>
      </w:r>
      <w:r>
        <w:rPr>
          <w:rStyle w:val="cat-FIOgrp-26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вменяемым и подлежащим уголовной ответственности. Основания для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прекращения уголовного дела в отношении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собранные по делу и исследованные в судебном заседании доказательства в их совокупности, суд на</w:t>
      </w:r>
      <w:r>
        <w:rPr>
          <w:rFonts w:ascii="Times New Roman" w:eastAsia="Times New Roman" w:hAnsi="Times New Roman" w:cs="Times New Roman"/>
          <w:sz w:val="28"/>
          <w:szCs w:val="28"/>
        </w:rPr>
        <w:t>ходит вину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26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установленной 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езаконное проникновение в жилище, совершенное против воли проживающего в нем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Давая такую юридическую оценку действиям </w:t>
      </w:r>
      <w:r>
        <w:rPr>
          <w:rStyle w:val="cat-FIOgrp-26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исходит из того, что в судебном заседании достоверно и бесспорно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30rplc-7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31rplc-7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 проник в жилище, </w:t>
      </w:r>
      <w:r>
        <w:rPr>
          <w:rStyle w:val="cat-FIOgrp-24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разрешения и против их воли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наказания,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и степень общественной опасности преступления,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его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семейное и материальное положение,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влияние назначаемого наказания на исправление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условия жизни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семьи, а также обстоятельства, 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>, что н</w:t>
      </w:r>
      <w:r>
        <w:rPr>
          <w:rFonts w:ascii="Times New Roman" w:eastAsia="Times New Roman" w:hAnsi="Times New Roman" w:cs="Times New Roman"/>
          <w:sz w:val="28"/>
          <w:szCs w:val="28"/>
        </w:rPr>
        <w:t>аказание применяется в целях восстановления социальной справедливости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предупреждения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осужденным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>, данные, характеризующие его и конкретные обстоятельства дела</w:t>
      </w:r>
    </w:p>
    <w:p>
      <w:pPr>
        <w:widowControl w:val="0"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 небольшой тяжести, вину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добровольно сообщил сотрудникам полиции обстоятельства содеянного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следствия давал признательные показания, то есть, предоставлял органам следствия информацию о совершенном преступлении, которая впоследствии была положена в основу обвинения и способствовала расследованию преступления,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имеет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постоянное место жительства,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учете у врач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психиатра и </w:t>
      </w:r>
      <w:r>
        <w:rPr>
          <w:rFonts w:ascii="Times New Roman" w:eastAsia="Times New Roman" w:hAnsi="Times New Roman" w:cs="Times New Roman"/>
          <w:sz w:val="28"/>
          <w:szCs w:val="28"/>
        </w:rPr>
        <w:t>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Однако совершил преступление в состоянии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смягчающих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61 УК РФ, суд признает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преступления, полное признание вины и раскаяние в содеянном,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одатайство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о постановлении приговора в особом порядке принятия судебного решения при согласии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обвинением, суд также расценивает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обстоятельство смягчающее наказание. </w:t>
      </w:r>
    </w:p>
    <w:p>
      <w:pPr>
        <w:widowControl w:val="0"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отягчающих наказание, предусмотренных ч. 1.1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63 УК РФ,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преступления в состоянии опьянения, вызванном употреблением алкоголя, поскольку подсудимый сам подтверждает нахождение его на момент совершения преступления в состоянии алкогольного опьянения, в силу чего он не смог контролировать свое психоэмоциональное состояние.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Оценив,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и степень общественной опасности совершенного Петровым В.Г.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 с характером и степенью общественной опасности содеянного, принимая во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смягчающие и отягчающие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убеждению, что </w:t>
      </w:r>
      <w:r>
        <w:rPr>
          <w:rFonts w:ascii="Times New Roman" w:eastAsia="Times New Roman" w:hAnsi="Times New Roman" w:cs="Times New Roman"/>
          <w:sz w:val="28"/>
          <w:szCs w:val="28"/>
        </w:rPr>
        <w:t>для достижения предусмотренных уголовным законом целей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в ч. 2 ст. 43 УК РФ,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 Петрову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данный вид наказания послужит исправлению и предупреждению совершения новых преступлений, при этом соразмерен содеянному.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категории лиц, которым обязательные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ст. 49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назначаются, </w:t>
      </w:r>
      <w:r>
        <w:rPr>
          <w:rFonts w:ascii="Times New Roman" w:eastAsia="Times New Roman" w:hAnsi="Times New Roman" w:cs="Times New Roman"/>
          <w:sz w:val="28"/>
          <w:szCs w:val="28"/>
        </w:rPr>
        <w:t>Петров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относится.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Петров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относящееся к категории небольшой тяжести, правила ч. 6 ст. 15 УК РФ в данном случае применены быть не могут. Исключительных обстоятельств, связанных с целью и мотивом преступления, других обстоятельств, которые бы существенно уменьшали степень общественной опасности преступления и его личностью, не установлено, поэтому оснований для применения требований ст. 64 УК РФ не имеется. Судом также не усматривается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 применения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76.2 УК РФ.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Приговором Апастовского районного суда </w:t>
      </w:r>
      <w:r>
        <w:rPr>
          <w:rStyle w:val="cat-Addressgrp-1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2 ст.158 УК РФ к наказанию в виде обязательных работ на срок 200 часов. Приговор вступил в законную силу </w:t>
      </w:r>
      <w:r>
        <w:rPr>
          <w:rStyle w:val="cat-Dategrp-13rplc-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отбыт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144 часа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при рассмотрении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уголовного дела, преступление по нему совершено Петровым В.Г. до постановления приговора от </w:t>
      </w:r>
      <w:r>
        <w:rPr>
          <w:rStyle w:val="cat-Dategrp-12rplc-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и степень общественной опасности совершённого Петровым В.Г. по данному уголовному делу преступления, и данные о личности последнего, суд, руководствуясь правилами назначения наказания, установленными частью 5 статьи 69 УК РФ, считает необходимым назначить окончательное наказание подсудимому в соответствии с данным положением уголовного закона, путём частичного сложения вновь назначенного наказания с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отбытой частью наказания, назначенного приговором от </w:t>
      </w:r>
      <w:r>
        <w:rPr>
          <w:rStyle w:val="cat-Dategrp-12rplc-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пресечения избранн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 и надлежащем поведении подлежит оставлению без изменения до вступления приговора в законную силу.</w:t>
      </w:r>
    </w:p>
    <w:p>
      <w:pPr>
        <w:widowControl w:val="0"/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удьбу вещественных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необходимым,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решить в соответствии с требованиями части 3 статьи 81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возмещении процессуальных издержек за оказание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юридической помощи в уголовном судопроизводстве по назначению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и в предварительном следствии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разрешить отдельным постановлением.</w:t>
      </w:r>
    </w:p>
    <w:p>
      <w:pPr>
        <w:widowControl w:val="0"/>
        <w:spacing w:before="0" w:after="1" w:line="280" w:lineRule="atLeast"/>
        <w:ind w:firstLine="56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307-309 У</w:t>
      </w: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8rplc-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5 статьи 69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совокупности преступлений, путём частичного сложения вновь назначенного наказания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отбытой частью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Апастовского районного суда </w:t>
      </w:r>
      <w:r>
        <w:rPr>
          <w:rStyle w:val="cat-Addressgrp-1rplc-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назначить </w:t>
      </w:r>
      <w:r>
        <w:rPr>
          <w:rStyle w:val="cat-FIOgrp-29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окончательное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Назначенное наказание отбывать в свободное от основной работы или учебы время, не свыше четырех часов в день, с определением вида обязательных работ и объектов, на которых они отбываются органами местного самоуправления по согласованию с уголовно-исполнительной инспекцией.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избранную в отношении </w:t>
      </w:r>
      <w:r>
        <w:rPr>
          <w:rStyle w:val="cat-FIOgrp-26rplc-1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по уголовному делу: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возмещении процессуальных издержек за оказание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адвокатом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юридической помощи в уголовном судопроизводстве по назначению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и в предварительном следствии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разрешить отдельным постановлением.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обжалован в апелляционном порядке в Апастовский районный суд </w:t>
      </w:r>
      <w:r>
        <w:rPr>
          <w:rStyle w:val="cat-Addressgrp-1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его постановления, а осужденным, содержащимся под стражей, в тот же срок со дня вручения ему копии приговора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1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или апелляционного представления осужденный вправе в течение 10 (десяти) суток подать свои возражения,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защитника, о чем должно быть указано в его апелляционной жалобе.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одпись.</w:t>
      </w:r>
    </w:p>
    <w:p>
      <w:pPr>
        <w:widowControl w:val="0"/>
        <w:spacing w:before="0" w:after="0"/>
        <w:ind w:firstLine="709"/>
        <w:jc w:val="center"/>
        <w:rPr>
          <w:sz w:val="16"/>
          <w:szCs w:val="16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верна: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widowControl w:val="0"/>
        <w:spacing w:before="0" w:after="0"/>
        <w:ind w:firstLine="709"/>
        <w:jc w:val="both"/>
        <w:rPr>
          <w:sz w:val="18"/>
          <w:szCs w:val="1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вступил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лу______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jc w:val="right"/>
      <w:rPr>
        <w:sz w:val="20"/>
        <w:szCs w:val="20"/>
      </w:rPr>
    </w:pPr>
  </w:p>
  <w:p>
    <w:pPr>
      <w:widowControl w:val="0"/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01478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33rplc-0">
    <w:name w:val="cat-PhoneNumber grp-33 rplc-0"/>
    <w:basedOn w:val="DefaultParagraphFont"/>
  </w:style>
  <w:style w:type="character" w:customStyle="1" w:styleId="cat-PhoneNumbergrp-34rplc-1">
    <w:name w:val="cat-PhoneNumber grp-34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21rplc-8">
    <w:name w:val="cat-FIO grp-21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FIOgrp-22rplc-10">
    <w:name w:val="cat-FIO grp-22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Timegrp-30rplc-22">
    <w:name w:val="cat-Time grp-30 rplc-22"/>
    <w:basedOn w:val="DefaultParagraphFont"/>
  </w:style>
  <w:style w:type="character" w:customStyle="1" w:styleId="cat-Timegrp-31rplc-23">
    <w:name w:val="cat-Time grp-31 rplc-23"/>
    <w:basedOn w:val="DefaultParagraphFont"/>
  </w:style>
  <w:style w:type="character" w:customStyle="1" w:styleId="cat-FIOgrp-24rplc-25">
    <w:name w:val="cat-FIO grp-24 rplc-25"/>
    <w:basedOn w:val="DefaultParagraphFont"/>
  </w:style>
  <w:style w:type="character" w:customStyle="1" w:styleId="cat-FIOgrp-25rplc-26">
    <w:name w:val="cat-FIO grp-2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24rplc-28">
    <w:name w:val="cat-FIO grp-24 rplc-28"/>
    <w:basedOn w:val="DefaultParagraphFont"/>
  </w:style>
  <w:style w:type="character" w:customStyle="1" w:styleId="cat-FIOgrp-25rplc-29">
    <w:name w:val="cat-FIO grp-25 rplc-29"/>
    <w:basedOn w:val="DefaultParagraphFont"/>
  </w:style>
  <w:style w:type="character" w:customStyle="1" w:styleId="cat-FIOgrp-24rplc-30">
    <w:name w:val="cat-FIO grp-24 rplc-30"/>
    <w:basedOn w:val="DefaultParagraphFont"/>
  </w:style>
  <w:style w:type="character" w:customStyle="1" w:styleId="cat-FIOgrp-25rplc-31">
    <w:name w:val="cat-FIO grp-25 rplc-31"/>
    <w:basedOn w:val="DefaultParagraphFont"/>
  </w:style>
  <w:style w:type="character" w:customStyle="1" w:styleId="cat-FIOgrp-24rplc-32">
    <w:name w:val="cat-FIO grp-24 rplc-32"/>
    <w:basedOn w:val="DefaultParagraphFont"/>
  </w:style>
  <w:style w:type="character" w:customStyle="1" w:styleId="cat-FIOgrp-25rplc-33">
    <w:name w:val="cat-FIO grp-25 rplc-33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Timegrp-32rplc-36">
    <w:name w:val="cat-Time grp-32 rplc-36"/>
    <w:basedOn w:val="DefaultParagraphFont"/>
  </w:style>
  <w:style w:type="character" w:customStyle="1" w:styleId="cat-FIOgrp-24rplc-37">
    <w:name w:val="cat-FIO grp-24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FIOgrp-26rplc-39">
    <w:name w:val="cat-FIO grp-26 rplc-39"/>
    <w:basedOn w:val="DefaultParagraphFont"/>
  </w:style>
  <w:style w:type="character" w:customStyle="1" w:styleId="cat-FIOgrp-24rplc-40">
    <w:name w:val="cat-FIO grp-24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FIOgrp-25rplc-42">
    <w:name w:val="cat-FIO grp-25 rplc-42"/>
    <w:basedOn w:val="DefaultParagraphFont"/>
  </w:style>
  <w:style w:type="character" w:customStyle="1" w:styleId="cat-FIOgrp-26rplc-43">
    <w:name w:val="cat-FIO grp-26 rplc-43"/>
    <w:basedOn w:val="DefaultParagraphFont"/>
  </w:style>
  <w:style w:type="character" w:customStyle="1" w:styleId="cat-FIOgrp-26rplc-45">
    <w:name w:val="cat-FIO grp-26 rplc-45"/>
    <w:basedOn w:val="DefaultParagraphFont"/>
  </w:style>
  <w:style w:type="character" w:customStyle="1" w:styleId="cat-Dategrp-14rplc-46">
    <w:name w:val="cat-Date grp-14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FIOgrp-26rplc-50">
    <w:name w:val="cat-FIO grp-26 rplc-50"/>
    <w:basedOn w:val="DefaultParagraphFont"/>
  </w:style>
  <w:style w:type="character" w:customStyle="1" w:styleId="cat-FIOgrp-25rplc-51">
    <w:name w:val="cat-FIO grp-25 rplc-51"/>
    <w:basedOn w:val="DefaultParagraphFont"/>
  </w:style>
  <w:style w:type="character" w:customStyle="1" w:styleId="cat-FIOgrp-24rplc-52">
    <w:name w:val="cat-FIO grp-24 rplc-52"/>
    <w:basedOn w:val="DefaultParagraphFont"/>
  </w:style>
  <w:style w:type="character" w:customStyle="1" w:styleId="cat-FIOgrp-26rplc-53">
    <w:name w:val="cat-FIO grp-26 rplc-53"/>
    <w:basedOn w:val="DefaultParagraphFont"/>
  </w:style>
  <w:style w:type="character" w:customStyle="1" w:styleId="cat-FIOgrp-26rplc-54">
    <w:name w:val="cat-FIO grp-26 rplc-54"/>
    <w:basedOn w:val="DefaultParagraphFont"/>
  </w:style>
  <w:style w:type="character" w:customStyle="1" w:styleId="cat-Dategrp-15rplc-55">
    <w:name w:val="cat-Date grp-15 rplc-55"/>
    <w:basedOn w:val="DefaultParagraphFont"/>
  </w:style>
  <w:style w:type="character" w:customStyle="1" w:styleId="cat-FIOgrp-26rplc-56">
    <w:name w:val="cat-FIO grp-26 rplc-56"/>
    <w:basedOn w:val="DefaultParagraphFont"/>
  </w:style>
  <w:style w:type="character" w:customStyle="1" w:styleId="cat-FIOgrp-27rplc-57">
    <w:name w:val="cat-FIO grp-27 rplc-57"/>
    <w:basedOn w:val="DefaultParagraphFont"/>
  </w:style>
  <w:style w:type="character" w:customStyle="1" w:styleId="cat-FIOgrp-26rplc-59">
    <w:name w:val="cat-FIO grp-26 rplc-59"/>
    <w:basedOn w:val="DefaultParagraphFont"/>
  </w:style>
  <w:style w:type="character" w:customStyle="1" w:styleId="cat-Dategrp-16rplc-60">
    <w:name w:val="cat-Date grp-16 rplc-60"/>
    <w:basedOn w:val="DefaultParagraphFont"/>
  </w:style>
  <w:style w:type="character" w:customStyle="1" w:styleId="cat-Addressgrp-5rplc-61">
    <w:name w:val="cat-Address grp-5 rplc-61"/>
    <w:basedOn w:val="DefaultParagraphFont"/>
  </w:style>
  <w:style w:type="character" w:customStyle="1" w:styleId="cat-FIOgrp-24rplc-63">
    <w:name w:val="cat-FIO grp-24 rplc-63"/>
    <w:basedOn w:val="DefaultParagraphFont"/>
  </w:style>
  <w:style w:type="character" w:customStyle="1" w:styleId="cat-Dategrp-16rplc-64">
    <w:name w:val="cat-Date grp-16 rplc-64"/>
    <w:basedOn w:val="DefaultParagraphFont"/>
  </w:style>
  <w:style w:type="character" w:customStyle="1" w:styleId="cat-Dategrp-17rplc-65">
    <w:name w:val="cat-Date grp-17 rplc-65"/>
    <w:basedOn w:val="DefaultParagraphFont"/>
  </w:style>
  <w:style w:type="character" w:customStyle="1" w:styleId="cat-FIOgrp-26rplc-66">
    <w:name w:val="cat-FIO grp-26 rplc-66"/>
    <w:basedOn w:val="DefaultParagraphFont"/>
  </w:style>
  <w:style w:type="character" w:customStyle="1" w:styleId="cat-Dategrp-14rplc-67">
    <w:name w:val="cat-Date grp-14 rplc-67"/>
    <w:basedOn w:val="DefaultParagraphFont"/>
  </w:style>
  <w:style w:type="character" w:customStyle="1" w:styleId="cat-Addressgrp-5rplc-68">
    <w:name w:val="cat-Address grp-5 rplc-68"/>
    <w:basedOn w:val="DefaultParagraphFont"/>
  </w:style>
  <w:style w:type="character" w:customStyle="1" w:styleId="cat-FIOgrp-28rplc-69">
    <w:name w:val="cat-FIO grp-28 rplc-69"/>
    <w:basedOn w:val="DefaultParagraphFont"/>
  </w:style>
  <w:style w:type="character" w:customStyle="1" w:styleId="cat-Addressgrp-5rplc-70">
    <w:name w:val="cat-Address grp-5 rplc-70"/>
    <w:basedOn w:val="DefaultParagraphFont"/>
  </w:style>
  <w:style w:type="character" w:customStyle="1" w:styleId="cat-FIOgrp-26rplc-71">
    <w:name w:val="cat-FIO grp-26 rplc-71"/>
    <w:basedOn w:val="DefaultParagraphFont"/>
  </w:style>
  <w:style w:type="character" w:customStyle="1" w:styleId="cat-FIOgrp-26rplc-73">
    <w:name w:val="cat-FIO grp-26 rplc-73"/>
    <w:basedOn w:val="DefaultParagraphFont"/>
  </w:style>
  <w:style w:type="character" w:customStyle="1" w:styleId="cat-FIOgrp-26rplc-74">
    <w:name w:val="cat-FIO grp-26 rplc-74"/>
    <w:basedOn w:val="DefaultParagraphFont"/>
  </w:style>
  <w:style w:type="character" w:customStyle="1" w:styleId="cat-FIOgrp-26rplc-75">
    <w:name w:val="cat-FIO grp-26 rplc-75"/>
    <w:basedOn w:val="DefaultParagraphFont"/>
  </w:style>
  <w:style w:type="character" w:customStyle="1" w:styleId="cat-Dategrp-14rplc-76">
    <w:name w:val="cat-Date grp-14 rplc-76"/>
    <w:basedOn w:val="DefaultParagraphFont"/>
  </w:style>
  <w:style w:type="character" w:customStyle="1" w:styleId="cat-Timegrp-30rplc-77">
    <w:name w:val="cat-Time grp-30 rplc-77"/>
    <w:basedOn w:val="DefaultParagraphFont"/>
  </w:style>
  <w:style w:type="character" w:customStyle="1" w:styleId="cat-Timegrp-31rplc-78">
    <w:name w:val="cat-Time grp-31 rplc-78"/>
    <w:basedOn w:val="DefaultParagraphFont"/>
  </w:style>
  <w:style w:type="character" w:customStyle="1" w:styleId="cat-FIOgrp-24rplc-79">
    <w:name w:val="cat-FIO grp-24 rplc-79"/>
    <w:basedOn w:val="DefaultParagraphFont"/>
  </w:style>
  <w:style w:type="character" w:customStyle="1" w:styleId="cat-FIOgrp-25rplc-80">
    <w:name w:val="cat-FIO grp-25 rplc-80"/>
    <w:basedOn w:val="DefaultParagraphFont"/>
  </w:style>
  <w:style w:type="character" w:customStyle="1" w:styleId="cat-Addressgrp-5rplc-81">
    <w:name w:val="cat-Address grp-5 rplc-81"/>
    <w:basedOn w:val="DefaultParagraphFont"/>
  </w:style>
  <w:style w:type="character" w:customStyle="1" w:styleId="cat-Addressgrp-1rplc-87">
    <w:name w:val="cat-Address grp-1 rplc-87"/>
    <w:basedOn w:val="DefaultParagraphFont"/>
  </w:style>
  <w:style w:type="character" w:customStyle="1" w:styleId="cat-Dategrp-12rplc-88">
    <w:name w:val="cat-Date grp-12 rplc-88"/>
    <w:basedOn w:val="DefaultParagraphFont"/>
  </w:style>
  <w:style w:type="character" w:customStyle="1" w:styleId="cat-Dategrp-13rplc-90">
    <w:name w:val="cat-Date grp-13 rplc-90"/>
    <w:basedOn w:val="DefaultParagraphFont"/>
  </w:style>
  <w:style w:type="character" w:customStyle="1" w:styleId="cat-Dategrp-12rplc-92">
    <w:name w:val="cat-Date grp-12 rplc-92"/>
    <w:basedOn w:val="DefaultParagraphFont"/>
  </w:style>
  <w:style w:type="character" w:customStyle="1" w:styleId="cat-Dategrp-12rplc-94">
    <w:name w:val="cat-Date grp-12 rplc-94"/>
    <w:basedOn w:val="DefaultParagraphFont"/>
  </w:style>
  <w:style w:type="character" w:customStyle="1" w:styleId="cat-FIOgrp-26rplc-95">
    <w:name w:val="cat-FIO grp-26 rplc-95"/>
    <w:basedOn w:val="DefaultParagraphFont"/>
  </w:style>
  <w:style w:type="character" w:customStyle="1" w:styleId="cat-FIOgrp-18rplc-96">
    <w:name w:val="cat-FIO grp-18 rplc-96"/>
    <w:basedOn w:val="DefaultParagraphFont"/>
  </w:style>
  <w:style w:type="character" w:customStyle="1" w:styleId="cat-Addressgrp-1rplc-97">
    <w:name w:val="cat-Address grp-1 rplc-97"/>
    <w:basedOn w:val="DefaultParagraphFont"/>
  </w:style>
  <w:style w:type="character" w:customStyle="1" w:styleId="cat-Dategrp-12rplc-98">
    <w:name w:val="cat-Date grp-12 rplc-98"/>
    <w:basedOn w:val="DefaultParagraphFont"/>
  </w:style>
  <w:style w:type="character" w:customStyle="1" w:styleId="cat-FIOgrp-29rplc-99">
    <w:name w:val="cat-FIO grp-29 rplc-99"/>
    <w:basedOn w:val="DefaultParagraphFont"/>
  </w:style>
  <w:style w:type="character" w:customStyle="1" w:styleId="cat-FIOgrp-26rplc-100">
    <w:name w:val="cat-FIO grp-26 rplc-100"/>
    <w:basedOn w:val="DefaultParagraphFont"/>
  </w:style>
  <w:style w:type="character" w:customStyle="1" w:styleId="cat-Addressgrp-1rplc-101">
    <w:name w:val="cat-Address grp-1 rplc-101"/>
    <w:basedOn w:val="DefaultParagraphFont"/>
  </w:style>
  <w:style w:type="character" w:customStyle="1" w:styleId="cat-Addressgrp-1rplc-102">
    <w:name w:val="cat-Address grp-1 rplc-10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D13D8-F926-4399-BD18-4D50C480D34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