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194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0100-</w:t>
      </w:r>
      <w:r>
        <w:rPr>
          <w:rStyle w:val="cat-PhoneNumbergrp-15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6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секретаре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материального ущерба причиненного в результате дорожно-транспортного происшествия, судебных расходов,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 Гражданского процессуального кодекса Российской Федерации, мировой судья,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Style w:val="cat-FIOgrp-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FIOgrp-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 эксперта в размере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отправке телеграммы в размере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юридических услуг в размере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через мирового судью.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8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40"/>
          <w:szCs w:val="4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rplc-5">
    <w:name w:val="cat-FIO grp-3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FIOgrp-5rplc-9">
    <w:name w:val="cat-FIO grp-5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5rplc-11">
    <w:name w:val="cat-FIO grp-5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FIOgrp-8rplc-20">
    <w:name w:val="cat-FIO grp-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