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2 статьи 19.4.1 КоАП РФ в отношении </w:t>
      </w:r>
      <w:r>
        <w:rPr>
          <w:rStyle w:val="cat-OrganizationNamegrp-21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«данные изъяты»,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Style w:val="cat-OrganizationNamegrp-22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проведения внеплановой выездной проверки Государственной инспекцией труда, согласно решению №16/4-1618-21-ПВ/12-19031-И/45-89 от «данные изъяты» года, отсутствовало по юридическому адресу: «данные изъяты», что является действием, влекущим невозможность проведения проверки и воспрепятствованием к законной деятельности должностных лиц.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Style w:val="cat-OrganizationNamegrp-22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в совершении административного правонарушения не признала и пояснила, что не согласна с протоколом об административном правонарушении, поскольку в фабуле протокола указано, что </w:t>
      </w:r>
      <w:r>
        <w:rPr>
          <w:rStyle w:val="cat-OrganizationNamegrp-2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отсутствует по юридическому адресу, однако, согласно записи в ЕГРЮЛ, организация находится по указанному адресу, функционирует, сотрудники с 8 до 17 часов находятся на рабочих местах. Сотрудники государственной инспекции труда в рабочее время в организацию не приходили, следовательно, документы для проведения проверки не могли быть им предоставлены.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федеральной инспекции труда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пояснил, что выездная проверка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инициирована запросом Следственного комитета </w:t>
      </w:r>
      <w:r>
        <w:rPr>
          <w:rStyle w:val="cat-Addressgrp-2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Прокуратурой РТ. Основанием для проведения данной проверки послужил факт получения телесных повреждений несовершеннолетней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строительном объекте, исполнителем работ на котором является </w:t>
      </w:r>
      <w:r>
        <w:rPr>
          <w:rStyle w:val="cat-OrganizationNamegrp-22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 «данные изъяты» и «данные изъяты» года совместно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инспектором </w:t>
      </w:r>
      <w:r>
        <w:rPr>
          <w:rStyle w:val="cat-FIOgrp-1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совершена выездная проверка </w:t>
      </w:r>
      <w:r>
        <w:rPr>
          <w:rStyle w:val="cat-OrganizationNamegrp-22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юридическому адресу, но дверь в помещение была закрыта. После этого решение о проведении выездной проверки было направлено </w:t>
      </w:r>
      <w:r>
        <w:rPr>
          <w:rStyle w:val="cat-OrganizationNamegrp-22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почтой и получено адресатом «данные изъяты» года. Сотрудник </w:t>
      </w:r>
      <w:r>
        <w:rPr>
          <w:rStyle w:val="cat-OrganizationNamegrp-22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телефонном разговоре с инспектором отказался предоставить необходимые документы, сославшись на отсутствие полномочий. В соответствии с ГК РФ юридическое лицо обязано находится по месту регистрации. Поскольку это была выездная проверка, документы необходимо было изучить на месте и при необходимости снять копии. «данные изъяты» года был составлен акт о невозможности проведения проверки. Также просил обратить внимание суда, на неоднократное привлечение </w:t>
      </w:r>
      <w:r>
        <w:rPr>
          <w:rStyle w:val="cat-OrganizationNamegrp-2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аналогичного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федеральной инспекции труда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пояснила, что «данные изъяты» и «данные изъяты» года вместе с </w:t>
      </w: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совершила выезд для проверки </w:t>
      </w:r>
      <w:r>
        <w:rPr>
          <w:rStyle w:val="cat-OrganizationNamegrp-22rplc-2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юридическому адресу, но дверь в помещение была закрыта. После этого решение о проведении выездной проверки было направлено </w:t>
      </w:r>
      <w:r>
        <w:rPr>
          <w:rStyle w:val="cat-OrganizationNamegrp-22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почтой. «данные изъяты» года в «данные изъяты» встретилась со специалистом по охране труда </w:t>
      </w:r>
      <w:r>
        <w:rPr>
          <w:rStyle w:val="cat-OrganizationNamegrp-22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дверь в помещение открыть он отказался, сославшись на отсутствие ключа, документы предоставить отказался, пояснив, что генерального директора нет на месте, а он не уполномочен предоставлять документы и давать пояснения.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пояснил, что является сотрудником </w:t>
      </w:r>
      <w:r>
        <w:rPr>
          <w:rStyle w:val="cat-OrganizationNamegrp-22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специалиста по охране труда. «данные изъяты» года он встретился с инспектором по охране труда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юридическому адресу </w:t>
      </w:r>
      <w:r>
        <w:rPr>
          <w:rStyle w:val="cat-OrganizationNamegrp-22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«данные изъяты». Дверь с табличкой «ООО «ПСП»» была закрыта, поскольку был конец рабочего дня. Открыть дверь он не мог, так как его рабочее место находится по другому адресу. О проведении проверки был уведомлен, однако исполнение данного решения в его обязанности не входит.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пояснила, что является сотрудником </w:t>
      </w:r>
      <w:r>
        <w:rPr>
          <w:rStyle w:val="cat-OrganizationNamegrp-22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начальника юридического отдела. «данные изъяты» года она поехала в </w:t>
      </w:r>
      <w:r>
        <w:rPr>
          <w:rFonts w:ascii="Times New Roman" w:eastAsia="Times New Roman" w:hAnsi="Times New Roman" w:cs="Times New Roman"/>
          <w:sz w:val="28"/>
          <w:szCs w:val="28"/>
        </w:rPr>
        <w:t>госинспекцию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по вызову инспектора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составления протокола. Однако, инспектора на месте не оказалось, в течение рабочего дня встреча не состоялась, поскольку </w:t>
      </w:r>
      <w:r>
        <w:rPr>
          <w:rStyle w:val="cat-FIOgrp-13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находилась на выезде. О необходимости предоставления документов для проведения проверки знала, но хотела уточнить, каких именно, так как штат сотрудников </w:t>
      </w:r>
      <w:r>
        <w:rPr>
          <w:rStyle w:val="cat-OrganizationNamegrp-22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3000 человек.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пояснил, что работает в </w:t>
      </w:r>
      <w:r>
        <w:rPr>
          <w:rStyle w:val="cat-OrganizationNamegrp-22rplc-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должности инженера, рабочее место находится по адресу: «данные изъяты», график работы с «данные изъяты» до «данные изъяты» часов. Присутствовал ли «данные изъяты» года на рабочем месте генеральный директор затрудняется ответить.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представителя </w:t>
      </w:r>
      <w:r>
        <w:rPr>
          <w:rStyle w:val="cat-OrganizationNamegrp-22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федеральной инспекции труда </w:t>
      </w:r>
      <w:r>
        <w:rPr>
          <w:rStyle w:val="cat-FIOgrp-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свидетелей </w:t>
      </w:r>
      <w:r>
        <w:rPr>
          <w:rStyle w:val="cat-FIOgrp-16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7rplc-4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материалы дела, суд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ст.357 ТК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государственные инспекторы труда при осуществлении федерального государственного контроля (надзора)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трудового законодательства и иных нормативных правовых актов, содержащих нормы трудового права, имеют право: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федеральными законами и иными нормативными правовыми актами Российской Федерации, беспрепятственно в любое время суток при наличии удостоверений установленного образца посещать в целях проведения контрольных (надзорных) мероприятий организации всех организационно-правовых форм и форм собственности, работодателей - физических лиц; запрашивать у работодателей и их представителей, органов исполнительной власти и органов местного самоуправления, иных организаций и безвозмездно получать от них документы, включая материалы фотосъемки, аудио- и видеозаписи, информационные базы, банки данных и иные носители информации, объяснения, информацию, необходимые для выполнения надзорных и контрольных функций.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</w:t>
      </w:r>
      <w:r>
        <w:rPr>
          <w:b w:val="0"/>
          <w:bCs w:val="0"/>
          <w:i w:val="0"/>
          <w:sz w:val="28"/>
          <w:szCs w:val="28"/>
        </w:rPr>
        <w:t>Согласно ст.73</w:t>
      </w:r>
      <w:r>
        <w:rPr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Федерального закона "О государственном контроле (надзоре) и муниципальном контроле в Российской Федерации" от </w:t>
      </w:r>
      <w:r>
        <w:rPr>
          <w:rStyle w:val="cat-Dategrp-6rplc-43"/>
          <w:b w:val="0"/>
          <w:bCs w:val="0"/>
          <w:i w:val="0"/>
          <w:sz w:val="28"/>
          <w:szCs w:val="28"/>
        </w:rPr>
        <w:t>дата</w:t>
      </w:r>
      <w:r>
        <w:rPr>
          <w:b w:val="0"/>
          <w:bCs w:val="0"/>
          <w:i w:val="0"/>
          <w:sz w:val="28"/>
          <w:szCs w:val="28"/>
        </w:rPr>
        <w:t xml:space="preserve"> N 248-ФЗ, </w:t>
      </w:r>
      <w:r>
        <w:rPr>
          <w:b w:val="0"/>
          <w:bCs w:val="0"/>
          <w:i w:val="0"/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</w:t>
      </w:r>
      <w:r>
        <w:rPr>
          <w:b w:val="0"/>
          <w:bCs w:val="0"/>
          <w:i w:val="0"/>
          <w:sz w:val="28"/>
          <w:szCs w:val="28"/>
        </w:rPr>
        <w:t xml:space="preserve">На основании ч.2, ч.3 ст.54 ГК РФ </w:t>
      </w:r>
      <w:r>
        <w:rPr>
          <w:b w:val="0"/>
          <w:bCs w:val="0"/>
          <w:i w:val="0"/>
          <w:sz w:val="28"/>
          <w:szCs w:val="28"/>
        </w:rPr>
        <w:t xml:space="preserve">место нахождения юридического лица определяется местом его государственной регистрации на </w:t>
      </w:r>
      <w:r>
        <w:rPr>
          <w:rStyle w:val="cat-Addressgrp-3rplc-44"/>
          <w:b w:val="0"/>
          <w:bCs w:val="0"/>
          <w:i w:val="0"/>
          <w:sz w:val="28"/>
          <w:szCs w:val="28"/>
        </w:rPr>
        <w:t>адрес</w:t>
      </w:r>
      <w:r>
        <w:rPr>
          <w:b w:val="0"/>
          <w:bCs w:val="0"/>
          <w:i w:val="0"/>
          <w:sz w:val="28"/>
          <w:szCs w:val="28"/>
        </w:rPr>
        <w:t xml:space="preserve">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 </w:t>
      </w:r>
      <w:r>
        <w:rPr>
          <w:b w:val="0"/>
          <w:bCs w:val="0"/>
          <w:i w:val="0"/>
          <w:sz w:val="28"/>
          <w:szCs w:val="28"/>
        </w:rPr>
        <w:t>В едином государственном реестре юридических лиц должен быть указан адрес</w:t>
      </w:r>
      <w:r>
        <w:rPr>
          <w:b w:val="0"/>
          <w:bCs w:val="0"/>
          <w:i w:val="0"/>
          <w:sz w:val="28"/>
          <w:szCs w:val="28"/>
        </w:rPr>
        <w:t> </w:t>
      </w:r>
      <w:r>
        <w:rPr>
          <w:b w:val="0"/>
          <w:bCs w:val="0"/>
          <w:i w:val="0"/>
          <w:sz w:val="28"/>
          <w:szCs w:val="28"/>
        </w:rPr>
        <w:t>юридического лица в пределах места нахождения юридического лица.</w:t>
      </w:r>
    </w:p>
    <w:p>
      <w:pPr>
        <w:pStyle w:val="Heading1"/>
        <w:spacing w:before="0" w:after="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</w:t>
      </w:r>
      <w:r>
        <w:rPr>
          <w:b w:val="0"/>
          <w:bCs w:val="0"/>
          <w:i w:val="0"/>
          <w:sz w:val="28"/>
          <w:szCs w:val="28"/>
        </w:rPr>
        <w:t xml:space="preserve">В соответствии с требованиями ст.22 ТК РФ работодатель обязан </w:t>
      </w:r>
      <w:r>
        <w:rPr>
          <w:b w:val="0"/>
          <w:bCs w:val="0"/>
          <w:i w:val="0"/>
          <w:sz w:val="28"/>
          <w:szCs w:val="28"/>
        </w:rPr>
        <w:t xml:space="preserve">своевременно выполнять предписания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 </w:t>
      </w:r>
      <w:r>
        <w:rPr>
          <w:b w:val="0"/>
          <w:bCs w:val="0"/>
          <w:i w:val="0"/>
          <w:sz w:val="28"/>
          <w:szCs w:val="28"/>
        </w:rPr>
        <w:t xml:space="preserve"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</w:t>
      </w:r>
      <w:r>
        <w:rPr>
          <w:b w:val="0"/>
          <w:bCs w:val="0"/>
          <w:i w:val="0"/>
          <w:sz w:val="28"/>
          <w:szCs w:val="28"/>
        </w:rPr>
        <w:t>принимать меры по устранению выявленных нарушений и сообщать о принятых мерах указанным органам и представителям.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Главным государственным инспектором труда </w:t>
      </w:r>
      <w:r>
        <w:rPr>
          <w:rStyle w:val="cat-FIOgrp-9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вынесено мотивированное представления о проведении контрольного (надзорного) мероприятия: внеплановой выездной поверки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(л.д.21-23).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вышеуказанного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руководителя Государственной инспекции труда в РТ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16/7-5585-21-ОБ/12-20238-И/45-140 от «данные изъяты» года о проведении внеплановой выездной проверки в отношении </w:t>
      </w:r>
      <w:r>
        <w:rPr>
          <w:rStyle w:val="cat-OrganizationNamegrp-22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юридическому адресу: «данные изъяты». В целях проведения выездной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контролируемому лицу необходимо предоставить документы на работников и иных лиц, осуществляющих работы на территории объекта строительства «Развитие прибрежных территории реки Казанка в </w:t>
      </w:r>
      <w:r>
        <w:rPr>
          <w:rStyle w:val="cat-Addressgrp-4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(л.д.28-33).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выездной проверки было направлено </w:t>
      </w:r>
      <w:r>
        <w:rPr>
          <w:rStyle w:val="cat-OrganizationNamegrp-22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почтой и получено адресатом «данные изъяты» года (л.д.35,36).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выездной проверки установлено, что юридическое лицо </w:t>
      </w:r>
      <w:r>
        <w:rPr>
          <w:rStyle w:val="cat-OrganizationNamegrp-22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регистрации: «данные изъяты»,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отсутствовало, что является действием, влекущим невозможность проведения проверки и воспрепятствованием к законной деятельности должностных лиц, о чем Государственным инспектором труда </w:t>
      </w:r>
      <w:r>
        <w:rPr>
          <w:rStyle w:val="cat-FIOgrp-13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составлен акт о невозможности проведения выездной проверки от «данные изъяты» года (л.д.37-42).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того, факт совершения административного правонарушения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иными материалами, имеющимися в деле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правонарушении: определением о передаче дела по подведомственности от </w:t>
      </w:r>
      <w:r>
        <w:rPr>
          <w:rFonts w:ascii="Times New Roman" w:eastAsia="Times New Roman" w:hAnsi="Times New Roman" w:cs="Times New Roma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(л.д.10-14); запросами СО по </w:t>
      </w:r>
      <w:r>
        <w:rPr>
          <w:rStyle w:val="cat-Addressgrp-2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 СК России по РТ о проведении проверки (л.д.15, 16-17, 18-19, 20); заявлением о согласовании с органом прокуратуры проведения внеплановой выездной проверки в отношении юридического лица от </w:t>
      </w:r>
      <w:r>
        <w:rPr>
          <w:rFonts w:ascii="Times New Roman" w:eastAsia="Times New Roman" w:hAnsi="Times New Roman" w:cs="Times New Roma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(л.д.24-25); решением прокурора о результатах рассмотрения заявления о согласовании проведения внепланового контрольного мероприятия №61 от </w:t>
      </w:r>
      <w:r>
        <w:rPr>
          <w:rFonts w:ascii="Times New Roman" w:eastAsia="Times New Roman" w:hAnsi="Times New Roman" w:cs="Times New Roma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(л.д.26-27); почтовым реестром от </w:t>
      </w:r>
      <w:r>
        <w:rPr>
          <w:rFonts w:ascii="Times New Roman" w:eastAsia="Times New Roman" w:hAnsi="Times New Roman" w:cs="Times New Roma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(л.д.34); вызовом представителя юридического лица для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(л.д.43); почтовым реестром от </w:t>
      </w:r>
      <w:r>
        <w:rPr>
          <w:rFonts w:ascii="Times New Roman" w:eastAsia="Times New Roman" w:hAnsi="Times New Roman" w:cs="Times New Roma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(л.д.44); отчетом об отслеживании почтового отправления от </w:t>
      </w:r>
      <w:r>
        <w:rPr>
          <w:rFonts w:ascii="Times New Roman" w:eastAsia="Times New Roman" w:hAnsi="Times New Roman" w:cs="Times New Roma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согласно которому вызов представителя юридического лица для составления протокола об административном правонарушении получен </w:t>
      </w:r>
      <w:r>
        <w:rPr>
          <w:rStyle w:val="cat-OrganizationNamegrp-22rplc-5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(л.д.45-46).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усматривает в действиях </w:t>
      </w:r>
      <w:r>
        <w:rPr>
          <w:rStyle w:val="cat-OrganizationNamegrp-22rplc-5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признаки состава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частью 2 статьи 19.4.1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(бездействие),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частью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настоящей статьи, повлекшие невозможность проведения или завершения проверки.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представителя </w:t>
      </w:r>
      <w:r>
        <w:rPr>
          <w:rStyle w:val="cat-OrganizationNamegrp-22rplc-5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том, что в действиях </w:t>
      </w:r>
      <w:r>
        <w:rPr>
          <w:rStyle w:val="cat-OrganizationNamegrp-22rplc-5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отсутствуют нарушения, поскольку организация фактически находится и осуществляет свою деятельность по юридическому адресу, суд не может принять во внимание,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факт отсутствия представителя </w:t>
      </w:r>
      <w:r>
        <w:rPr>
          <w:rStyle w:val="cat-OrganizationNamegrp-22rplc-5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регистрации юридического лица на момент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выездной проверки был установлен в ходе судебного заседания показаниями представителей Государственной инспекции труда </w:t>
      </w:r>
      <w:r>
        <w:rPr>
          <w:rStyle w:val="cat-FIOgrp-9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свидетелей, а также материалами административного дела.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Данное обстоятельство повлекло невозможность проведения проверки и воспрепятствование законной деятельности должностных лиц. Кроме того,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о проведении выездной проверки было направлено </w:t>
      </w:r>
      <w:r>
        <w:rPr>
          <w:rStyle w:val="cat-OrganizationNamegrp-22rplc-6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почтой и получено адресатом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однако действий для исполнения решения со стороны </w:t>
      </w:r>
      <w:r>
        <w:rPr>
          <w:rStyle w:val="cat-OrganizationNamegrp-22rplc-6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предпринято.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ч.3 ст.4.1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right="55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обстоятельств дела, суд считает возможным назначить </w:t>
      </w:r>
      <w:r>
        <w:rPr>
          <w:rStyle w:val="cat-OrganizationNamegrp-22rplc-6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минимального размера штрафа,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2 статьи 19.4.1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КоАП 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OrganizationNamegrp-21rplc-6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 по части 1 статьи 19.4.1 КоАП РФ и назначить административное наказание в виде штрафа в размере </w:t>
      </w:r>
      <w:r>
        <w:rPr>
          <w:rStyle w:val="cat-Sumgrp-20rplc-6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1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Style w:val="cat-OrganizationNamegrp-21rplc-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что в соответствии со ст.32.2 КоАП РФ,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15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ст.ст.25.1-25.5 КоАП РФ, или опротестовано прокурором в Московский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4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 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СОГЛАСОВАНО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Мировой судья:</w:t>
      </w:r>
      <w:r>
        <w:rPr>
          <w:b w:val="0"/>
          <w:bCs w:val="0"/>
          <w:i w:val="0"/>
          <w:iCs w:val="0"/>
          <w:sz w:val="28"/>
          <w:szCs w:val="28"/>
        </w:rPr>
        <w:t xml:space="preserve">                                                </w:t>
      </w:r>
      <w:r>
        <w:rPr>
          <w:rStyle w:val="cat-FIOgrp-19rplc-69"/>
          <w:b w:val="0"/>
          <w:bCs w:val="0"/>
          <w:i w:val="0"/>
          <w:iCs w:val="0"/>
          <w:sz w:val="28"/>
          <w:szCs w:val="28"/>
        </w:rPr>
        <w:t>фио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OrganizationNamegrp-22rplc-5">
    <w:name w:val="cat-OrganizationName grp-22 rplc-5"/>
    <w:basedOn w:val="DefaultParagraphFont"/>
  </w:style>
  <w:style w:type="character" w:customStyle="1" w:styleId="cat-OrganizationNamegrp-22rplc-7">
    <w:name w:val="cat-OrganizationName grp-22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FIOgrp-11rplc-15">
    <w:name w:val="cat-FIO grp-11 rplc-15"/>
    <w:basedOn w:val="DefaultParagraphFont"/>
  </w:style>
  <w:style w:type="character" w:customStyle="1" w:styleId="cat-OrganizationNamegrp-22rplc-16">
    <w:name w:val="cat-OrganizationName grp-22 rplc-16"/>
    <w:basedOn w:val="DefaultParagraphFont"/>
  </w:style>
  <w:style w:type="character" w:customStyle="1" w:styleId="cat-OrganizationNamegrp-22rplc-17">
    <w:name w:val="cat-OrganizationName grp-22 rplc-17"/>
    <w:basedOn w:val="DefaultParagraphFont"/>
  </w:style>
  <w:style w:type="character" w:customStyle="1" w:styleId="cat-OrganizationNamegrp-22rplc-18">
    <w:name w:val="cat-OrganizationName grp-22 rplc-18"/>
    <w:basedOn w:val="DefaultParagraphFont"/>
  </w:style>
  <w:style w:type="character" w:customStyle="1" w:styleId="cat-OrganizationNamegrp-22rplc-19">
    <w:name w:val="cat-OrganizationName grp-22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OrganizationNamegrp-22rplc-22">
    <w:name w:val="cat-OrganizationName grp-22 rplc-22"/>
    <w:basedOn w:val="DefaultParagraphFont"/>
  </w:style>
  <w:style w:type="character" w:customStyle="1" w:styleId="cat-OrganizationNamegrp-22rplc-23">
    <w:name w:val="cat-OrganizationName grp-22 rplc-23"/>
    <w:basedOn w:val="DefaultParagraphFont"/>
  </w:style>
  <w:style w:type="character" w:customStyle="1" w:styleId="cat-OrganizationNamegrp-22rplc-24">
    <w:name w:val="cat-OrganizationName grp-22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OrganizationNamegrp-22rplc-26">
    <w:name w:val="cat-OrganizationName grp-22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OrganizationNamegrp-22rplc-28">
    <w:name w:val="cat-OrganizationName grp-22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OrganizationNamegrp-22rplc-30">
    <w:name w:val="cat-OrganizationName grp-22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OrganizationNamegrp-22rplc-33">
    <w:name w:val="cat-OrganizationName grp-22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OrganizationNamegrp-22rplc-35">
    <w:name w:val="cat-OrganizationName grp-22 rplc-35"/>
    <w:basedOn w:val="DefaultParagraphFont"/>
  </w:style>
  <w:style w:type="character" w:customStyle="1" w:styleId="cat-OrganizationNamegrp-22rplc-36">
    <w:name w:val="cat-OrganizationName grp-22 rplc-36"/>
    <w:basedOn w:val="DefaultParagraphFont"/>
  </w:style>
  <w:style w:type="character" w:customStyle="1" w:styleId="cat-FIOgrp-8rplc-37">
    <w:name w:val="cat-FIO grp-8 rplc-37"/>
    <w:basedOn w:val="DefaultParagraphFont"/>
  </w:style>
  <w:style w:type="character" w:customStyle="1" w:styleId="cat-FIOgrp-9rplc-38">
    <w:name w:val="cat-FIO grp-9 rplc-38"/>
    <w:basedOn w:val="DefaultParagraphFont"/>
  </w:style>
  <w:style w:type="character" w:customStyle="1" w:styleId="cat-FIOgrp-11rplc-39">
    <w:name w:val="cat-FIO grp-11 rplc-39"/>
    <w:basedOn w:val="DefaultParagraphFont"/>
  </w:style>
  <w:style w:type="character" w:customStyle="1" w:styleId="cat-FIOgrp-16rplc-40">
    <w:name w:val="cat-FIO grp-16 rplc-40"/>
    <w:basedOn w:val="DefaultParagraphFont"/>
  </w:style>
  <w:style w:type="character" w:customStyle="1" w:styleId="cat-FIOgrp-14rplc-41">
    <w:name w:val="cat-FIO grp-14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Dategrp-6rplc-43">
    <w:name w:val="cat-Date grp-6 rplc-43"/>
    <w:basedOn w:val="DefaultParagraphFont"/>
  </w:style>
  <w:style w:type="character" w:customStyle="1" w:styleId="cat-Addressgrp-3rplc-44">
    <w:name w:val="cat-Address grp-3 rplc-44"/>
    <w:basedOn w:val="DefaultParagraphFont"/>
  </w:style>
  <w:style w:type="character" w:customStyle="1" w:styleId="cat-FIOgrp-9rplc-45">
    <w:name w:val="cat-FIO grp-9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OrganizationNamegrp-22rplc-48">
    <w:name w:val="cat-OrganizationName grp-22 rplc-48"/>
    <w:basedOn w:val="DefaultParagraphFont"/>
  </w:style>
  <w:style w:type="character" w:customStyle="1" w:styleId="cat-Addressgrp-4rplc-49">
    <w:name w:val="cat-Address grp-4 rplc-49"/>
    <w:basedOn w:val="DefaultParagraphFont"/>
  </w:style>
  <w:style w:type="character" w:customStyle="1" w:styleId="cat-OrganizationNamegrp-22rplc-50">
    <w:name w:val="cat-OrganizationName grp-22 rplc-50"/>
    <w:basedOn w:val="DefaultParagraphFont"/>
  </w:style>
  <w:style w:type="character" w:customStyle="1" w:styleId="cat-OrganizationNamegrp-22rplc-51">
    <w:name w:val="cat-OrganizationName grp-22 rplc-51"/>
    <w:basedOn w:val="DefaultParagraphFont"/>
  </w:style>
  <w:style w:type="character" w:customStyle="1" w:styleId="cat-FIOgrp-13rplc-52">
    <w:name w:val="cat-FIO grp-13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OrganizationNamegrp-22rplc-54">
    <w:name w:val="cat-OrganizationName grp-22 rplc-54"/>
    <w:basedOn w:val="DefaultParagraphFont"/>
  </w:style>
  <w:style w:type="character" w:customStyle="1" w:styleId="cat-OrganizationNamegrp-22rplc-55">
    <w:name w:val="cat-OrganizationName grp-22 rplc-55"/>
    <w:basedOn w:val="DefaultParagraphFont"/>
  </w:style>
  <w:style w:type="character" w:customStyle="1" w:styleId="cat-OrganizationNamegrp-22rplc-56">
    <w:name w:val="cat-OrganizationName grp-22 rplc-56"/>
    <w:basedOn w:val="DefaultParagraphFont"/>
  </w:style>
  <w:style w:type="character" w:customStyle="1" w:styleId="cat-FIOgrp-8rplc-57">
    <w:name w:val="cat-FIO grp-8 rplc-57"/>
    <w:basedOn w:val="DefaultParagraphFont"/>
  </w:style>
  <w:style w:type="character" w:customStyle="1" w:styleId="cat-OrganizationNamegrp-22rplc-58">
    <w:name w:val="cat-OrganizationName grp-22 rplc-58"/>
    <w:basedOn w:val="DefaultParagraphFont"/>
  </w:style>
  <w:style w:type="character" w:customStyle="1" w:styleId="cat-OrganizationNamegrp-22rplc-59">
    <w:name w:val="cat-OrganizationName grp-22 rplc-59"/>
    <w:basedOn w:val="DefaultParagraphFont"/>
  </w:style>
  <w:style w:type="character" w:customStyle="1" w:styleId="cat-FIOgrp-9rplc-60">
    <w:name w:val="cat-FIO grp-9 rplc-60"/>
    <w:basedOn w:val="DefaultParagraphFont"/>
  </w:style>
  <w:style w:type="character" w:customStyle="1" w:styleId="cat-FIOgrp-13rplc-61">
    <w:name w:val="cat-FIO grp-13 rplc-61"/>
    <w:basedOn w:val="DefaultParagraphFont"/>
  </w:style>
  <w:style w:type="character" w:customStyle="1" w:styleId="cat-OrganizationNamegrp-22rplc-62">
    <w:name w:val="cat-OrganizationName grp-22 rplc-62"/>
    <w:basedOn w:val="DefaultParagraphFont"/>
  </w:style>
  <w:style w:type="character" w:customStyle="1" w:styleId="cat-OrganizationNamegrp-22rplc-63">
    <w:name w:val="cat-OrganizationName grp-22 rplc-63"/>
    <w:basedOn w:val="DefaultParagraphFont"/>
  </w:style>
  <w:style w:type="character" w:customStyle="1" w:styleId="cat-OrganizationNamegrp-22rplc-64">
    <w:name w:val="cat-OrganizationName grp-22 rplc-64"/>
    <w:basedOn w:val="DefaultParagraphFont"/>
  </w:style>
  <w:style w:type="character" w:customStyle="1" w:styleId="cat-OrganizationNamegrp-21rplc-65">
    <w:name w:val="cat-OrganizationName grp-21 rplc-65"/>
    <w:basedOn w:val="DefaultParagraphFont"/>
  </w:style>
  <w:style w:type="character" w:customStyle="1" w:styleId="cat-Sumgrp-20rplc-66">
    <w:name w:val="cat-Sum grp-20 rplc-66"/>
    <w:basedOn w:val="DefaultParagraphFont"/>
  </w:style>
  <w:style w:type="character" w:customStyle="1" w:styleId="cat-OrganizationNamegrp-21rplc-67">
    <w:name w:val="cat-OrganizationName grp-21 rplc-67"/>
    <w:basedOn w:val="DefaultParagraphFont"/>
  </w:style>
  <w:style w:type="character" w:customStyle="1" w:styleId="cat-Addressgrp-4rplc-68">
    <w:name w:val="cat-Address grp-4 rplc-68"/>
    <w:basedOn w:val="DefaultParagraphFont"/>
  </w:style>
  <w:style w:type="character" w:customStyle="1" w:styleId="cat-FIOgrp-19rplc-69">
    <w:name w:val="cat-FIO grp-19 rplc-6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