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№5-________/__/2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Дырнаева М.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Дырнаев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расположенном в д.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колбас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Сервелат </w:t>
      </w:r>
      <w:r>
        <w:rPr>
          <w:rFonts w:ascii="Times New Roman" w:eastAsia="Times New Roman" w:hAnsi="Times New Roman" w:cs="Times New Roman"/>
          <w:sz w:val="28"/>
          <w:szCs w:val="28"/>
        </w:rPr>
        <w:t>по-стародворски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0,7 кг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408,65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Дырнаев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Дырнаева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Дырнаев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</w:t>
      </w:r>
      <w:r>
        <w:rPr>
          <w:rFonts w:ascii="Times New Roman" w:eastAsia="Times New Roman" w:hAnsi="Times New Roman" w:cs="Times New Roman"/>
          <w:sz w:val="28"/>
          <w:szCs w:val="28"/>
        </w:rPr>
        <w:t>мужчину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колбасы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ужчина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хищение колбасы «Сервелат </w:t>
      </w:r>
      <w:r>
        <w:rPr>
          <w:rFonts w:ascii="Times New Roman" w:eastAsia="Times New Roman" w:hAnsi="Times New Roman" w:cs="Times New Roman"/>
          <w:sz w:val="28"/>
          <w:szCs w:val="28"/>
        </w:rPr>
        <w:t>по-стародворски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0,7 кг» 2 шт. стоимостью 408,65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спрятав товар в </w:t>
      </w:r>
      <w:r>
        <w:rPr>
          <w:rFonts w:ascii="Times New Roman" w:eastAsia="Times New Roman" w:hAnsi="Times New Roman" w:cs="Times New Roman"/>
          <w:sz w:val="28"/>
          <w:szCs w:val="28"/>
        </w:rPr>
        <w:t>левую штанину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оплатив его на кассе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>Дырнаева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колбасы «Сервелат по </w:t>
      </w:r>
      <w:r>
        <w:rPr>
          <w:rFonts w:ascii="Times New Roman" w:eastAsia="Times New Roman" w:hAnsi="Times New Roman" w:cs="Times New Roman"/>
          <w:sz w:val="28"/>
          <w:szCs w:val="28"/>
        </w:rPr>
        <w:t>стародворски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0,7 кг» 2 шт. стоимостью 408,65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Николаева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Дырнаевым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 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Дырнаева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rPr>
          <w:rFonts w:ascii="Times New Roman" w:eastAsia="Times New Roman" w:hAnsi="Times New Roman" w:cs="Times New Roman"/>
          <w:sz w:val="28"/>
          <w:szCs w:val="28"/>
        </w:rPr>
        <w:t>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Дырнаева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28"/>
          <w:rFonts w:ascii="Times New Roman" w:eastAsia="Times New Roman" w:hAnsi="Times New Roman" w:cs="Times New Roman"/>
          <w:sz w:val="28"/>
          <w:szCs w:val="28"/>
        </w:rPr>
        <w:t>Дырнаева М.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6rplc-28">
    <w:name w:val="cat-FIO grp-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