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Краснова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по адресу: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бульвар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комната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503482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гольного опьянения в общественном месте, имел шаткую походку, невнятную речь, резкий запах спиртного изо рта, неопрятный внешний вид вызывающем брезгл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вость, тем самым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A40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Краснов И.В.</w:t>
      </w:r>
      <w:r w:rsidR="003D27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05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Краснова И.В.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Красновым И.В.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RPr="00F11115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</w:t>
      </w:r>
      <w:r w:rsidRPr="003D272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учитывает признание вины,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имущественного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72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Краснову И.В.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6A405C"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Краснова </w:t>
      </w:r>
      <w:r w:rsidR="00503482">
        <w:rPr>
          <w:rFonts w:ascii="Times New Roman" w:eastAsia="Calibri" w:hAnsi="Times New Roman" w:cs="Times New Roman"/>
          <w:sz w:val="28"/>
          <w:szCs w:val="28"/>
          <w:lang w:eastAsia="ru-RU"/>
        </w:rPr>
        <w:t>И.В.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38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82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6597A"/>
    <w:rsid w:val="00096F30"/>
    <w:rsid w:val="001A6EAC"/>
    <w:rsid w:val="00242784"/>
    <w:rsid w:val="00266303"/>
    <w:rsid w:val="00335B70"/>
    <w:rsid w:val="003531FF"/>
    <w:rsid w:val="003D2720"/>
    <w:rsid w:val="00407E02"/>
    <w:rsid w:val="00503482"/>
    <w:rsid w:val="005F491F"/>
    <w:rsid w:val="00600ADE"/>
    <w:rsid w:val="00631668"/>
    <w:rsid w:val="00675651"/>
    <w:rsid w:val="006A405C"/>
    <w:rsid w:val="00783E9D"/>
    <w:rsid w:val="00AC1EA5"/>
    <w:rsid w:val="00B77A9E"/>
    <w:rsid w:val="00C25482"/>
    <w:rsid w:val="00CE0200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