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8E9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5-394/2022</w:t>
      </w:r>
    </w:p>
    <w:p w:rsidR="001818E9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0095-01-2022-002250-15</w:t>
      </w:r>
    </w:p>
    <w:p w:rsidR="001818E9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1818E9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818E9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818E9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20 июля 2022 года                                                                            г. Бугульма</w:t>
      </w:r>
    </w:p>
    <w:p w:rsidR="001818E9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г. Бугульма, ул. Ленина, д.18А, рассмотрев дело об административном правонарушении, предусмотренном частью 2 статьи 19.20 Кодекса Российской Федерации об административных правонарушениях (далее - КоАП РФ) в отношении государственного автономного учреждения культуры Республики Татарстан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Баталова», </w:t>
      </w:r>
      <w:r w:rsidR="00AC212E">
        <w:rPr>
          <w:sz w:val="28"/>
          <w:szCs w:val="28"/>
        </w:rPr>
        <w:t>***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ответственности,</w:t>
      </w:r>
    </w:p>
    <w:p w:rsidR="001818E9" w:rsidP="008751B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1818E9" w:rsidP="00EA42D7">
      <w:pPr>
        <w:ind w:firstLine="540"/>
        <w:jc w:val="center"/>
        <w:rPr>
          <w:bCs/>
          <w:sz w:val="28"/>
          <w:szCs w:val="28"/>
        </w:rPr>
      </w:pPr>
    </w:p>
    <w:p w:rsidR="001818E9" w:rsidRPr="003816AB" w:rsidP="006F3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 июня 2022 года, в 12 часов 35 минут, находясь на 1039 км автодороги М7 Волга, в ходе проверки главным государственным инспектором </w:t>
      </w:r>
      <w:r>
        <w:rPr>
          <w:sz w:val="28"/>
          <w:szCs w:val="28"/>
        </w:rPr>
        <w:t>Прикамского</w:t>
      </w:r>
      <w:r>
        <w:rPr>
          <w:sz w:val="28"/>
          <w:szCs w:val="28"/>
        </w:rPr>
        <w:t xml:space="preserve"> отдела Средне-Волжского МУГАДН ФСНСТ </w:t>
      </w:r>
      <w:r>
        <w:rPr>
          <w:sz w:val="28"/>
          <w:szCs w:val="28"/>
        </w:rPr>
        <w:t>Минехановым</w:t>
      </w:r>
      <w:r>
        <w:rPr>
          <w:sz w:val="28"/>
          <w:szCs w:val="28"/>
        </w:rPr>
        <w:t xml:space="preserve"> А.М. транспортного </w:t>
      </w:r>
      <w:r>
        <w:rPr>
          <w:sz w:val="28"/>
          <w:szCs w:val="28"/>
        </w:rPr>
        <w:t>Ford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Transit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.р</w:t>
      </w:r>
      <w:r>
        <w:rPr>
          <w:sz w:val="28"/>
          <w:szCs w:val="28"/>
        </w:rPr>
        <w:t>ег.знак</w:t>
      </w:r>
      <w:r>
        <w:rPr>
          <w:sz w:val="28"/>
          <w:szCs w:val="28"/>
        </w:rPr>
        <w:t xml:space="preserve"> </w:t>
      </w:r>
      <w:r w:rsidR="00AC212E">
        <w:rPr>
          <w:sz w:val="28"/>
          <w:szCs w:val="28"/>
        </w:rPr>
        <w:t>***</w:t>
      </w:r>
      <w:r>
        <w:rPr>
          <w:sz w:val="28"/>
          <w:szCs w:val="28"/>
        </w:rPr>
        <w:t xml:space="preserve">рус, под управлением </w:t>
      </w:r>
      <w:r w:rsidR="00AC212E">
        <w:rPr>
          <w:sz w:val="28"/>
          <w:szCs w:val="28"/>
        </w:rPr>
        <w:t>***</w:t>
      </w:r>
      <w:r w:rsidR="00AC212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осуществлявшего перевозку пассажиров и багажа в количестве 1 человека по маршруту Елабуга-Бугульма,  обнаружено, что в путевом листе №</w:t>
      </w:r>
      <w:r w:rsidRPr="00AC212E" w:rsidR="00AC212E">
        <w:rPr>
          <w:sz w:val="28"/>
          <w:szCs w:val="28"/>
        </w:rPr>
        <w:t>***</w:t>
      </w:r>
      <w:r w:rsidR="00AC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июня 2022 </w:t>
      </w:r>
      <w:r>
        <w:rPr>
          <w:sz w:val="28"/>
          <w:szCs w:val="28"/>
        </w:rPr>
        <w:t>года, выданном государственным автономным учреждением культуры Республики Татарстан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(далее по тексту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Баталова») не соответствует отметка о проведении </w:t>
      </w:r>
      <w:r>
        <w:rPr>
          <w:sz w:val="28"/>
          <w:szCs w:val="28"/>
        </w:rPr>
        <w:t>предрейсового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предсменного</w:t>
      </w:r>
      <w:r>
        <w:rPr>
          <w:sz w:val="28"/>
          <w:szCs w:val="28"/>
        </w:rPr>
        <w:t xml:space="preserve"> контроля технического состояния транспортного средства (выпуск на линию разрешен), отсутствует информация о видах сообщения, перевозок и сведения о собственнике (владельце) транспортного</w:t>
      </w:r>
      <w:r>
        <w:rPr>
          <w:sz w:val="28"/>
          <w:szCs w:val="28"/>
        </w:rPr>
        <w:t xml:space="preserve"> средства (номер телефона).</w:t>
      </w:r>
    </w:p>
    <w:p w:rsidR="001818E9" w:rsidP="006D3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судебном заседании представитель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Каменский А.А. вину в совершении административного правонарушения признал полностью, в содеянном раскаялся, суду пояснил, что все допущенные нарушения устранены.</w:t>
      </w:r>
    </w:p>
    <w:p w:rsidR="001818E9" w:rsidP="00702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Должностное лицо, составившее протокол об административном правонарушении, главный государственный инспектор </w:t>
      </w:r>
      <w:r>
        <w:rPr>
          <w:sz w:val="28"/>
          <w:szCs w:val="28"/>
        </w:rPr>
        <w:t>Прикамского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редне - Волжского межрегионального Управления </w:t>
      </w:r>
      <w:r>
        <w:rPr>
          <w:sz w:val="28"/>
          <w:szCs w:val="28"/>
        </w:rPr>
        <w:t>Минеханов</w:t>
      </w:r>
      <w:r>
        <w:rPr>
          <w:sz w:val="28"/>
          <w:szCs w:val="28"/>
        </w:rPr>
        <w:t xml:space="preserve"> А.М. на судебное заседание не явился, извещен, причина неявки в суд неизвестна, ходатайств об отложении рассмотрении дела не поступило.  </w:t>
      </w:r>
    </w:p>
    <w:p w:rsidR="001818E9" w:rsidP="00A362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части 2 статьи 19.20 КоАП РФ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влечет предупреждение или </w:t>
      </w:r>
      <w:r>
        <w:rPr>
          <w:sz w:val="28"/>
          <w:szCs w:val="28"/>
        </w:rPr>
        <w:t>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</w:t>
      </w:r>
      <w:r>
        <w:rPr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1818E9" w:rsidP="00A36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color w:val="0000FF"/>
            <w:sz w:val="28"/>
            <w:szCs w:val="28"/>
          </w:rPr>
          <w:t>пункта 3 статьи 3</w:t>
        </w:r>
      </w:hyperlink>
      <w:r>
        <w:rPr>
          <w:sz w:val="28"/>
          <w:szCs w:val="28"/>
        </w:rPr>
        <w:t xml:space="preserve"> Федерального закона от 4 мая 2011 года N 99-ФЗ "О лицензировании отдельных видов деятельности" под лицензируемым видом деятельности понимается вид деятельности, на осуществление которого на территории Российской Федерации требуется получение лицензии в соответствии с данным Федеральным законом.</w:t>
      </w:r>
    </w:p>
    <w:p w:rsidR="001818E9" w:rsidP="00A36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</w:t>
      </w:r>
      <w:hyperlink r:id="rId5" w:history="1">
        <w:r>
          <w:rPr>
            <w:color w:val="0000FF"/>
            <w:sz w:val="28"/>
            <w:szCs w:val="28"/>
          </w:rPr>
          <w:t>подпункта 24 пункта 1 статьи 12</w:t>
        </w:r>
      </w:hyperlink>
      <w:r>
        <w:rPr>
          <w:sz w:val="28"/>
          <w:szCs w:val="28"/>
        </w:rPr>
        <w:t xml:space="preserve"> Федерального закона от 4 мая 2011 года N 99-ФЗ "О лицензировании отдельных видов деятельности" деятельность по перевозкам пассажиров и иных лиц автобусами относится к видам деятельности, на которые требуется лицензия.</w:t>
      </w:r>
    </w:p>
    <w:p w:rsidR="001818E9" w:rsidP="00A36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</w:rPr>
          <w:t>Статьей 2</w:t>
        </w:r>
      </w:hyperlink>
      <w:r>
        <w:rPr>
          <w:sz w:val="28"/>
          <w:szCs w:val="28"/>
        </w:rPr>
        <w:t xml:space="preserve"> названного Федерального закона предусмотрено, что лицензирование отдельных видов деятельности осуществляется, в том числе, для предотвращения ущерба правам, законным интересам, жизни или здоровью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деятельности.</w:t>
      </w:r>
    </w:p>
    <w:p w:rsidR="001818E9" w:rsidP="00A36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FF"/>
            <w:sz w:val="28"/>
            <w:szCs w:val="28"/>
          </w:rPr>
          <w:t>подпункту "г" пункта 8</w:t>
        </w:r>
      </w:hyperlink>
      <w:r>
        <w:rPr>
          <w:sz w:val="28"/>
          <w:szCs w:val="28"/>
        </w:rPr>
        <w:t xml:space="preserve">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года N 1616, лицензиат обязан заполнять путевые листы в порядке, установленном Министерством транспорта Российской Федерации в соответствии со </w:t>
      </w:r>
      <w:hyperlink r:id="rId8" w:history="1">
        <w:r>
          <w:rPr>
            <w:color w:val="0000FF"/>
            <w:sz w:val="28"/>
            <w:szCs w:val="28"/>
          </w:rPr>
          <w:t>статьей 6</w:t>
        </w:r>
      </w:hyperlink>
      <w:r>
        <w:rPr>
          <w:sz w:val="28"/>
          <w:szCs w:val="28"/>
        </w:rPr>
        <w:t xml:space="preserve"> Федерального закона от 8 ноября 2007 года N 259-ФЗ "Устав автомобильного транспорта и городского наземного</w:t>
      </w:r>
      <w:r>
        <w:rPr>
          <w:sz w:val="28"/>
          <w:szCs w:val="28"/>
        </w:rPr>
        <w:t xml:space="preserve"> электрического транспорта".</w:t>
      </w:r>
    </w:p>
    <w:p w:rsidR="001818E9" w:rsidP="00A36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color w:val="0000FF"/>
            <w:sz w:val="28"/>
            <w:szCs w:val="28"/>
          </w:rPr>
          <w:t>частью 1 статьи 6</w:t>
        </w:r>
      </w:hyperlink>
      <w:r>
        <w:rPr>
          <w:sz w:val="28"/>
          <w:szCs w:val="28"/>
        </w:rPr>
        <w:t xml:space="preserve"> Федерального закона от 8 ноября 2007 года N 259-ФЗ обязательные реквизиты и порядок заполнения путевых листов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1818E9" w:rsidP="00A362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</w:t>
      </w:r>
      <w:hyperlink r:id="rId10" w:history="1">
        <w:r>
          <w:rPr>
            <w:color w:val="0000FF"/>
            <w:sz w:val="28"/>
            <w:szCs w:val="28"/>
          </w:rPr>
          <w:t>реквизиты и порядок</w:t>
        </w:r>
      </w:hyperlink>
      <w:r>
        <w:rPr>
          <w:sz w:val="28"/>
          <w:szCs w:val="28"/>
        </w:rPr>
        <w:t xml:space="preserve"> заполнения путевых листов утверждены Приказом Минтранса России от 11 сентября 2020 года N 368.</w:t>
      </w:r>
    </w:p>
    <w:p w:rsidR="001818E9" w:rsidP="00A362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Баталова», расположенное по адресу: 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ул.В.Ленина</w:t>
      </w:r>
      <w:r>
        <w:rPr>
          <w:sz w:val="28"/>
          <w:szCs w:val="28"/>
        </w:rPr>
        <w:t>, д.30, осуществляет деятельность по перевозке пассажиров и иных лиц автобусами на основании лицензии №АК-16-000475 от 28 июня 2019 года, выданной Министерством транспорта Российской Федерации Федеральной службы по надзору в сфере транспорта.</w:t>
      </w:r>
    </w:p>
    <w:p w:rsidR="001818E9" w:rsidP="00302A4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 отношении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6 июня 2022 года должностным лицом </w:t>
      </w:r>
      <w:r>
        <w:rPr>
          <w:sz w:val="28"/>
          <w:szCs w:val="28"/>
        </w:rPr>
        <w:t>Прикамского</w:t>
      </w:r>
      <w:r>
        <w:rPr>
          <w:sz w:val="28"/>
          <w:szCs w:val="28"/>
        </w:rPr>
        <w:t xml:space="preserve"> отдела Средне-Волжского межрегионального Управления  плановой документарной проверки исполнения требований законодательства в </w:t>
      </w:r>
      <w:r>
        <w:rPr>
          <w:sz w:val="28"/>
          <w:szCs w:val="28"/>
        </w:rPr>
        <w:t>сфере транспорта при организации перевозок пассажиров установлено, что при осуществлении деятельности по перевозке пассажиров и иных лиц автобусами допущено нарушение требований и условий, предусмотренных лицензией №АК-16-000475 от</w:t>
      </w:r>
      <w:r>
        <w:rPr>
          <w:sz w:val="28"/>
          <w:szCs w:val="28"/>
        </w:rPr>
        <w:t xml:space="preserve"> 28 июня 2019 года.</w:t>
      </w:r>
    </w:p>
    <w:p w:rsidR="001818E9" w:rsidP="00302A4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проверки органом государственного контроля (надзора) №300 от 6 июня 2022 года установлены нарушения требований </w:t>
      </w:r>
      <w:hyperlink r:id="rId11" w:history="1">
        <w:r>
          <w:rPr>
            <w:color w:val="0000FF"/>
            <w:sz w:val="28"/>
            <w:szCs w:val="28"/>
          </w:rPr>
          <w:t>пунктов 1,6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color w:val="0000FF"/>
            <w:sz w:val="28"/>
            <w:szCs w:val="28"/>
          </w:rPr>
          <w:t>16</w:t>
        </w:r>
      </w:hyperlink>
      <w:r>
        <w:rPr>
          <w:sz w:val="28"/>
          <w:szCs w:val="28"/>
        </w:rPr>
        <w:t xml:space="preserve"> Порядка заполнения путевых листов, утвержденного Приказом Минтранса России от 11 сентября 2020 года N 368, в путевом листе отсутствовали отметки  "Выпуск на линию разрешен", вид перевозки и вид сообщения, сведения о собственнике (владельце) транспортного средства (номер телефона).</w:t>
      </w:r>
    </w:p>
    <w:p w:rsidR="001818E9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Факт совершения</w:t>
      </w:r>
      <w:r w:rsidRPr="00BF77E0">
        <w:rPr>
          <w:sz w:val="28"/>
          <w:szCs w:val="28"/>
        </w:rPr>
        <w:t xml:space="preserve"> </w:t>
      </w:r>
      <w:r>
        <w:rPr>
          <w:sz w:val="28"/>
          <w:szCs w:val="28"/>
        </w:rPr>
        <w:t>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указанного административного правонарушения подтвержден собранными по делу доказательствами: протоколом об административном правонарушении №</w:t>
      </w:r>
      <w:r w:rsidRPr="00AC212E" w:rsidR="00AC212E">
        <w:rPr>
          <w:sz w:val="28"/>
          <w:szCs w:val="28"/>
        </w:rPr>
        <w:t>***</w:t>
      </w:r>
      <w:r w:rsidR="00AC212E">
        <w:rPr>
          <w:sz w:val="28"/>
          <w:szCs w:val="28"/>
        </w:rPr>
        <w:t xml:space="preserve"> </w:t>
      </w:r>
      <w:r>
        <w:rPr>
          <w:sz w:val="28"/>
          <w:szCs w:val="28"/>
        </w:rPr>
        <w:t>от 30 июня 2022 года, актом планового осмотра, обследования транспортного средства №300 от 6 июня 2022 года, копией путевого листа №</w:t>
      </w:r>
      <w:r w:rsidRPr="00AC212E" w:rsidR="00AC212E">
        <w:rPr>
          <w:sz w:val="28"/>
          <w:szCs w:val="28"/>
        </w:rPr>
        <w:t>***</w:t>
      </w:r>
      <w:r>
        <w:rPr>
          <w:sz w:val="28"/>
          <w:szCs w:val="28"/>
        </w:rPr>
        <w:t xml:space="preserve">, копией лицензии №АК-16-000475 от 28 июня 2019 года. </w:t>
      </w:r>
    </w:p>
    <w:p w:rsidR="001818E9" w:rsidP="00554B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Действия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мировой судья квалифицирует по части 2 статьи 19.20 КоАП РФ,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1818E9" w:rsidP="00775D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все обстоятельства дела.</w:t>
      </w:r>
    </w:p>
    <w:p w:rsidR="001818E9" w:rsidP="003C5585">
      <w:pPr>
        <w:ind w:right="-1" w:firstLine="540"/>
        <w:jc w:val="both"/>
        <w:rPr>
          <w:sz w:val="28"/>
          <w:szCs w:val="28"/>
        </w:rPr>
      </w:pPr>
      <w:r w:rsidRPr="003429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DD1C37">
        <w:rPr>
          <w:sz w:val="28"/>
          <w:szCs w:val="28"/>
        </w:rPr>
        <w:t>качестве обстоятельств, смягчающих административную ответственность, мировой судья учитывает признание</w:t>
      </w:r>
      <w:r>
        <w:rPr>
          <w:sz w:val="28"/>
          <w:szCs w:val="28"/>
        </w:rPr>
        <w:t xml:space="preserve"> юридическим лицом  </w:t>
      </w:r>
      <w:r w:rsidRPr="00DD1C37">
        <w:rPr>
          <w:sz w:val="28"/>
          <w:szCs w:val="28"/>
        </w:rPr>
        <w:t>своей вины, раскаяние в содеянном</w:t>
      </w:r>
      <w:r>
        <w:rPr>
          <w:sz w:val="28"/>
          <w:szCs w:val="28"/>
        </w:rPr>
        <w:t>, а также тот факт, что к административной ответственности привлекается впервые</w:t>
      </w:r>
      <w:r w:rsidRPr="00DD1C37">
        <w:rPr>
          <w:sz w:val="28"/>
          <w:szCs w:val="28"/>
        </w:rPr>
        <w:t>.</w:t>
      </w:r>
    </w:p>
    <w:p w:rsidR="001818E9" w:rsidRPr="00DD1C37" w:rsidP="003C5585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Баталова», судом не установлено.</w:t>
      </w:r>
    </w:p>
    <w:p w:rsidR="001818E9" w:rsidP="00207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имущественного положения привлекаемого лица, мировой судья считает необходимым назначить ГАУК РТ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наказание в виде предупреждения.</w:t>
      </w:r>
    </w:p>
    <w:p w:rsidR="001818E9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1818E9" w:rsidP="00EA42D7">
      <w:pPr>
        <w:ind w:firstLine="709"/>
        <w:jc w:val="both"/>
        <w:rPr>
          <w:sz w:val="28"/>
          <w:szCs w:val="28"/>
        </w:rPr>
      </w:pPr>
    </w:p>
    <w:p w:rsidR="001818E9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1818E9" w:rsidP="00EA42D7">
      <w:pPr>
        <w:ind w:firstLine="709"/>
        <w:jc w:val="center"/>
        <w:rPr>
          <w:bCs/>
          <w:sz w:val="28"/>
          <w:szCs w:val="28"/>
        </w:rPr>
      </w:pPr>
    </w:p>
    <w:p w:rsidR="001818E9" w:rsidP="00B87E6C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признать государственное автономное учреждение культуры Республики Татарстан «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государственный русский драматический театр им. А.В. Баталова» виновным в совершении административного правонарушения, предусмотренного частью 2 статьи 19.20 Кодекса Российской Федерации об </w:t>
      </w:r>
      <w:r>
        <w:rPr>
          <w:sz w:val="28"/>
          <w:szCs w:val="28"/>
        </w:rPr>
        <w:t>административных правонарушениях, и назначить наказание в виде предупреждения.</w:t>
      </w:r>
    </w:p>
    <w:p w:rsidR="001818E9" w:rsidP="006829D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1818E9" w:rsidP="006829D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1818E9" w:rsidP="006829D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1818E9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818E9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1818E9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255D9"/>
    <w:rsid w:val="00027BB6"/>
    <w:rsid w:val="00074147"/>
    <w:rsid w:val="00080B22"/>
    <w:rsid w:val="000D057F"/>
    <w:rsid w:val="000D0D83"/>
    <w:rsid w:val="000F1D62"/>
    <w:rsid w:val="00105C5B"/>
    <w:rsid w:val="00132EB8"/>
    <w:rsid w:val="00153405"/>
    <w:rsid w:val="00163601"/>
    <w:rsid w:val="00164E07"/>
    <w:rsid w:val="001818E9"/>
    <w:rsid w:val="001A4561"/>
    <w:rsid w:val="001B4989"/>
    <w:rsid w:val="001C0AB6"/>
    <w:rsid w:val="002070A6"/>
    <w:rsid w:val="00214BDE"/>
    <w:rsid w:val="00223FA7"/>
    <w:rsid w:val="0024412E"/>
    <w:rsid w:val="002542CB"/>
    <w:rsid w:val="002646C8"/>
    <w:rsid w:val="00276DE9"/>
    <w:rsid w:val="0028188E"/>
    <w:rsid w:val="00287E1A"/>
    <w:rsid w:val="002A7D1A"/>
    <w:rsid w:val="002F150D"/>
    <w:rsid w:val="00302A48"/>
    <w:rsid w:val="003149C2"/>
    <w:rsid w:val="0033423E"/>
    <w:rsid w:val="003429F8"/>
    <w:rsid w:val="00342B12"/>
    <w:rsid w:val="00367864"/>
    <w:rsid w:val="003816AB"/>
    <w:rsid w:val="00386D2F"/>
    <w:rsid w:val="003A693E"/>
    <w:rsid w:val="003C5585"/>
    <w:rsid w:val="003D26B0"/>
    <w:rsid w:val="003D3956"/>
    <w:rsid w:val="003D6F3F"/>
    <w:rsid w:val="004627D9"/>
    <w:rsid w:val="0048355A"/>
    <w:rsid w:val="004D3C45"/>
    <w:rsid w:val="004E1E25"/>
    <w:rsid w:val="0050480F"/>
    <w:rsid w:val="00511C92"/>
    <w:rsid w:val="00534059"/>
    <w:rsid w:val="00544211"/>
    <w:rsid w:val="00554BB0"/>
    <w:rsid w:val="005569D1"/>
    <w:rsid w:val="00556FE5"/>
    <w:rsid w:val="005603F6"/>
    <w:rsid w:val="00573AF4"/>
    <w:rsid w:val="005818B6"/>
    <w:rsid w:val="005C544B"/>
    <w:rsid w:val="005D41CF"/>
    <w:rsid w:val="005E4E7A"/>
    <w:rsid w:val="005E5851"/>
    <w:rsid w:val="005E7C20"/>
    <w:rsid w:val="0060778A"/>
    <w:rsid w:val="00613CAB"/>
    <w:rsid w:val="006165B1"/>
    <w:rsid w:val="006230A3"/>
    <w:rsid w:val="00636499"/>
    <w:rsid w:val="00644DB7"/>
    <w:rsid w:val="006829D2"/>
    <w:rsid w:val="006B4C39"/>
    <w:rsid w:val="006D367C"/>
    <w:rsid w:val="006E70B4"/>
    <w:rsid w:val="006F3FF4"/>
    <w:rsid w:val="00701766"/>
    <w:rsid w:val="00702FEF"/>
    <w:rsid w:val="00722677"/>
    <w:rsid w:val="00763998"/>
    <w:rsid w:val="00775D93"/>
    <w:rsid w:val="00785AF9"/>
    <w:rsid w:val="007A040F"/>
    <w:rsid w:val="007C73B4"/>
    <w:rsid w:val="007E0253"/>
    <w:rsid w:val="008329FF"/>
    <w:rsid w:val="0085365A"/>
    <w:rsid w:val="00862D13"/>
    <w:rsid w:val="008639FC"/>
    <w:rsid w:val="008751BE"/>
    <w:rsid w:val="0087540E"/>
    <w:rsid w:val="008C266C"/>
    <w:rsid w:val="008C2C81"/>
    <w:rsid w:val="008F3AA7"/>
    <w:rsid w:val="00932A91"/>
    <w:rsid w:val="0095319D"/>
    <w:rsid w:val="00956AC3"/>
    <w:rsid w:val="00962823"/>
    <w:rsid w:val="0097437E"/>
    <w:rsid w:val="00983207"/>
    <w:rsid w:val="009911EB"/>
    <w:rsid w:val="009A094A"/>
    <w:rsid w:val="009B177A"/>
    <w:rsid w:val="009B71B6"/>
    <w:rsid w:val="009F0D8E"/>
    <w:rsid w:val="009F49AB"/>
    <w:rsid w:val="00A128B2"/>
    <w:rsid w:val="00A34E37"/>
    <w:rsid w:val="00A3627B"/>
    <w:rsid w:val="00A43930"/>
    <w:rsid w:val="00A47545"/>
    <w:rsid w:val="00A544A1"/>
    <w:rsid w:val="00A7583D"/>
    <w:rsid w:val="00A93559"/>
    <w:rsid w:val="00A9515B"/>
    <w:rsid w:val="00A9676D"/>
    <w:rsid w:val="00AC212E"/>
    <w:rsid w:val="00AC2490"/>
    <w:rsid w:val="00AD69A9"/>
    <w:rsid w:val="00B203AA"/>
    <w:rsid w:val="00B42A74"/>
    <w:rsid w:val="00B43349"/>
    <w:rsid w:val="00B813CF"/>
    <w:rsid w:val="00B87E6C"/>
    <w:rsid w:val="00B95B8E"/>
    <w:rsid w:val="00BA40E3"/>
    <w:rsid w:val="00BB7F70"/>
    <w:rsid w:val="00BD3617"/>
    <w:rsid w:val="00BD63E3"/>
    <w:rsid w:val="00BF77E0"/>
    <w:rsid w:val="00C160C0"/>
    <w:rsid w:val="00C178A0"/>
    <w:rsid w:val="00C2539A"/>
    <w:rsid w:val="00C26599"/>
    <w:rsid w:val="00C26F93"/>
    <w:rsid w:val="00C5559F"/>
    <w:rsid w:val="00C62EFE"/>
    <w:rsid w:val="00C74C3A"/>
    <w:rsid w:val="00CA09AE"/>
    <w:rsid w:val="00CB343D"/>
    <w:rsid w:val="00CC3C2F"/>
    <w:rsid w:val="00CE4671"/>
    <w:rsid w:val="00D21FB3"/>
    <w:rsid w:val="00D3137B"/>
    <w:rsid w:val="00D471D2"/>
    <w:rsid w:val="00D571C0"/>
    <w:rsid w:val="00D64D7F"/>
    <w:rsid w:val="00D812E4"/>
    <w:rsid w:val="00DB1A2F"/>
    <w:rsid w:val="00DD1C37"/>
    <w:rsid w:val="00DD5970"/>
    <w:rsid w:val="00DD60A4"/>
    <w:rsid w:val="00DF23FB"/>
    <w:rsid w:val="00DF406E"/>
    <w:rsid w:val="00E044B2"/>
    <w:rsid w:val="00E519DB"/>
    <w:rsid w:val="00E901BE"/>
    <w:rsid w:val="00E96219"/>
    <w:rsid w:val="00EA42D7"/>
    <w:rsid w:val="00EB7A99"/>
    <w:rsid w:val="00EC7F3D"/>
    <w:rsid w:val="00EF699F"/>
    <w:rsid w:val="00F05508"/>
    <w:rsid w:val="00F14F81"/>
    <w:rsid w:val="00F1511A"/>
    <w:rsid w:val="00F41BC0"/>
    <w:rsid w:val="00F44B06"/>
    <w:rsid w:val="00F559DE"/>
    <w:rsid w:val="00F960AF"/>
    <w:rsid w:val="00F97517"/>
    <w:rsid w:val="00FC600C"/>
    <w:rsid w:val="00FF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30EC2C8ACFFCE189AC0ABCC74B6970A5380AFC4BB3AC49FDA75DC883731E0037C7BB46524A1BAEB8F2BE58BA2DCB5750B43C6E64F915ED2r0j0M" TargetMode="External" /><Relationship Id="rId11" Type="http://schemas.openxmlformats.org/officeDocument/2006/relationships/hyperlink" Target="consultantplus://offline/ref=3D14882F90969377CFDFB4A0AFEF1F7E26703B911A3CDC5DC2328CB8307471C8A03E8E944EA1DE54BC88396EF6084F9159E2E68F6715E5BDyFn9M" TargetMode="External" /><Relationship Id="rId12" Type="http://schemas.openxmlformats.org/officeDocument/2006/relationships/hyperlink" Target="consultantplus://offline/ref=3D14882F90969377CFDFB4A0AFEF1F7E26703B911A3CDC5DC2328CB8307471C8A03E8E944EA1DE53BB88396EF6084F9159E2E68F6715E5BDyFn9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0EC2C8ACFFCE189AC0ABCC74B6970A5383AFC0BE30C49FDA75DC883731E0037C7BB46526AAEEBBCB75BCD8E697B870155FC6E3r5j3M" TargetMode="External" /><Relationship Id="rId5" Type="http://schemas.openxmlformats.org/officeDocument/2006/relationships/hyperlink" Target="consultantplus://offline/ref=F30EC2C8ACFFCE189AC0ABCC74B6970A5383AFC0BE30C49FDA75DC883731E0037C7BB46D25AAEEBBCB75BCD8E697B870155FC6E3r5j3M" TargetMode="External" /><Relationship Id="rId6" Type="http://schemas.openxmlformats.org/officeDocument/2006/relationships/hyperlink" Target="consultantplus://offline/ref=F30EC2C8ACFFCE189AC0ABCC74B6970A5383AFC0BE30C49FDA75DC883731E0037C7BB46524A1BAE8872BE58BA2DCB5750B43C6E64F915ED2r0j0M" TargetMode="External" /><Relationship Id="rId7" Type="http://schemas.openxmlformats.org/officeDocument/2006/relationships/hyperlink" Target="consultantplus://offline/ref=F30EC2C8ACFFCE189AC0ABCC74B6970A5380ADC7B93EC49FDA75DC883731E0037C7BB46524A1BAE98B2BE58BA2DCB5750B43C6E64F915ED2r0j0M" TargetMode="External" /><Relationship Id="rId8" Type="http://schemas.openxmlformats.org/officeDocument/2006/relationships/hyperlink" Target="consultantplus://offline/ref=F30EC2C8ACFFCE189AC0ABCC74B6970A5381AEC7BA30C49FDA75DC883731E0037C7BB46524A1BAEF8C2BE58BA2DCB5750B43C6E64F915ED2r0j0M" TargetMode="External" /><Relationship Id="rId9" Type="http://schemas.openxmlformats.org/officeDocument/2006/relationships/hyperlink" Target="consultantplus://offline/ref=F30EC2C8ACFFCE189AC0ABCC74B6970A5381AEC7BA30C49FDA75DC883731E0037C7BB46524A1BAEF8B2BE58BA2DCB5750B43C6E64F915ED2r0j0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