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430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>ев материалы дела по статье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4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15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 привлекавшего</w:t>
      </w:r>
      <w:r>
        <w:rPr>
          <w:rFonts w:ascii="Times New Roman" w:eastAsia="Times New Roman" w:hAnsi="Times New Roman" w:cs="Times New Roman"/>
          <w:sz w:val="28"/>
          <w:szCs w:val="28"/>
        </w:rPr>
        <w:t>ся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Style w:val="cat-OrganizationNamegrp-1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годовую бухгалтерскую (финансовую) отчетность, составляющую государственный информационный ресурс бухгалтерской отчетности (далее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п.п. 3,5 статьи 18 Федерального закона от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иное не установлено настоящей статьей.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извещен, в суд не явился.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Его вина подтверждается протоколом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государственный орган сведений, представление которых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и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Style w:val="cat-OrganizationNamegrp-14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предусмотренного статьей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OrganizationNamegrp-14rplc-5">
    <w:name w:val="cat-OrganizationName grp-14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honeNumbergrp-15rplc-9">
    <w:name w:val="cat-PhoneNumber grp-15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OrganizationNamegrp-14rplc-11">
    <w:name w:val="cat-OrganizationName grp-14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OrganizationNamegrp-14rplc-22">
    <w:name w:val="cat-OrganizationName grp-14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Addressgrp-1rplc-24">
    <w:name w:val="cat-Address grp-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