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338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338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B338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 марта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6B2A66" w:rsidRPr="00FF165B" w:rsidP="00FF165B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B338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Зиннятзянова</w:t>
      </w:r>
      <w:r w:rsidR="00B338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="00E426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.Р.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E426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3389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338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2648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1B0465">
        <w:rPr>
          <w:rFonts w:ascii="Times New Roman" w:eastAsia="Times New Roman" w:hAnsi="Times New Roman"/>
          <w:sz w:val="28"/>
          <w:szCs w:val="28"/>
          <w:lang w:eastAsia="ru-RU"/>
        </w:rPr>
        <w:t>Татарс</w:t>
      </w:r>
      <w:r w:rsidR="00B33899">
        <w:rPr>
          <w:rFonts w:ascii="Times New Roman" w:eastAsia="Times New Roman" w:hAnsi="Times New Roman"/>
          <w:sz w:val="28"/>
          <w:szCs w:val="28"/>
          <w:lang w:eastAsia="ru-RU"/>
        </w:rPr>
        <w:t>кой АССР</w:t>
      </w:r>
      <w:r w:rsidR="000241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Федерации, </w:t>
      </w:r>
      <w:r w:rsidR="00B54B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зарегистрированного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Республика Татарстан, </w:t>
      </w:r>
      <w:r w:rsidR="00E426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с.</w:t>
      </w:r>
      <w:r w:rsidR="00E426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1B0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ул.</w:t>
      </w:r>
      <w:r w:rsidR="00E426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E426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54B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паспорт серии </w:t>
      </w:r>
      <w:r w:rsidR="00E426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</w:t>
      </w:r>
      <w:r w:rsidR="00B54B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выдан </w:t>
      </w:r>
      <w:r w:rsidR="00E426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B54B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по РТ в </w:t>
      </w:r>
      <w:r w:rsidR="00E426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B54B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районе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53D3B"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</w:t>
      </w:r>
      <w:r w:rsidR="00DA3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BE8">
        <w:rPr>
          <w:rFonts w:ascii="Times New Roman" w:hAnsi="Times New Roman"/>
          <w:color w:val="000000"/>
          <w:sz w:val="28"/>
          <w:szCs w:val="28"/>
        </w:rPr>
        <w:t>привлекавшегося</w:t>
      </w:r>
      <w:r w:rsidR="00DA3BE8">
        <w:rPr>
          <w:rFonts w:ascii="Times New Roman" w:hAnsi="Times New Roman"/>
          <w:color w:val="000000"/>
          <w:sz w:val="28"/>
          <w:szCs w:val="28"/>
        </w:rPr>
        <w:t>,</w:t>
      </w:r>
    </w:p>
    <w:p w:rsidR="001B0465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 но</w:t>
      </w:r>
      <w:r w:rsidR="00464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3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Зиннятзянова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Р.Р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Зиннятзянов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Р.Р.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C47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Зиннятзянов</w:t>
      </w:r>
      <w:r w:rsidR="00C47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Р.Р.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явился, извещен надлежащим образом</w:t>
      </w:r>
      <w:r w:rsidR="00C81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СМС–сообщения – в материалах дела имеется его согласие на извещение посредством СМС-сообщения по указанному им номеру телефона,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C34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Зиннятзянов</w:t>
      </w:r>
      <w:r w:rsidR="00C34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Р.Р.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C34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Зиннятзяновым</w:t>
      </w:r>
      <w:r w:rsidR="00C34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Р.Р.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E42648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C34C86">
        <w:rPr>
          <w:rFonts w:ascii="Times New Roman" w:hAnsi="Times New Roman"/>
          <w:sz w:val="28"/>
          <w:szCs w:val="28"/>
        </w:rPr>
        <w:t>17 февраля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E42648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F5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 но</w:t>
      </w:r>
      <w:r w:rsidR="004F5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ября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8F58FA">
        <w:rPr>
          <w:rFonts w:ascii="Times New Roman" w:hAnsi="Times New Roman"/>
          <w:color w:val="000000"/>
          <w:sz w:val="28"/>
          <w:szCs w:val="28"/>
        </w:rPr>
        <w:t>14</w:t>
      </w:r>
      <w:r w:rsidR="005421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58FA">
        <w:rPr>
          <w:rFonts w:ascii="Times New Roman" w:hAnsi="Times New Roman"/>
          <w:color w:val="000000"/>
          <w:sz w:val="28"/>
          <w:szCs w:val="28"/>
        </w:rPr>
        <w:t>дека</w:t>
      </w:r>
      <w:r w:rsidR="00CC42F5">
        <w:rPr>
          <w:rFonts w:ascii="Times New Roman" w:hAnsi="Times New Roman"/>
          <w:color w:val="000000"/>
          <w:sz w:val="28"/>
          <w:szCs w:val="28"/>
        </w:rPr>
        <w:t>бря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</w:t>
      </w:r>
      <w:r w:rsidRPr="00F63A93">
        <w:rPr>
          <w:rFonts w:ascii="Times New Roman" w:hAnsi="Times New Roman"/>
          <w:sz w:val="28"/>
          <w:szCs w:val="28"/>
        </w:rPr>
        <w:t xml:space="preserve">согласуются между собой, полностью устанавливают событие правонарушения и виновность </w:t>
      </w:r>
      <w:r w:rsidR="00F659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Зиннятзянова</w:t>
      </w:r>
      <w:r w:rsidR="00F659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Р.Р.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F659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Зиннятзянова</w:t>
      </w:r>
      <w:r w:rsidR="00F659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Р.Р.</w:t>
      </w:r>
      <w:r w:rsidR="005421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Зиннятзянова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="00E426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3A7183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3A7183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3A718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AD072C">
        <w:rPr>
          <w:rFonts w:ascii="Times New Roman" w:hAnsi="Times New Roman"/>
          <w:color w:val="000000"/>
          <w:sz w:val="28"/>
          <w:szCs w:val="28"/>
        </w:rPr>
        <w:t>7</w:t>
      </w:r>
      <w:r w:rsidR="000B3CDD">
        <w:rPr>
          <w:rFonts w:ascii="Times New Roman" w:hAnsi="Times New Roman"/>
          <w:color w:val="000000"/>
          <w:sz w:val="28"/>
          <w:szCs w:val="28"/>
        </w:rPr>
        <w:t>402330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F65981">
        <w:rPr>
          <w:rFonts w:ascii="Times New Roman" w:hAnsi="Times New Roman"/>
          <w:color w:val="000000"/>
          <w:sz w:val="28"/>
          <w:szCs w:val="28"/>
        </w:rPr>
        <w:t>93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0B3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Зиннятзянову</w:t>
      </w:r>
      <w:r w:rsidR="000B3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Р.Р.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44507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3CDD"/>
    <w:rsid w:val="000B5CC7"/>
    <w:rsid w:val="000C24D5"/>
    <w:rsid w:val="000C2FA2"/>
    <w:rsid w:val="000C6924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60137"/>
    <w:rsid w:val="00166658"/>
    <w:rsid w:val="00171925"/>
    <w:rsid w:val="00172571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4411"/>
    <w:rsid w:val="001C16EF"/>
    <w:rsid w:val="001E23AF"/>
    <w:rsid w:val="001E7C48"/>
    <w:rsid w:val="001F4A03"/>
    <w:rsid w:val="001F4FE8"/>
    <w:rsid w:val="001F7DC1"/>
    <w:rsid w:val="002001B5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3F3C"/>
    <w:rsid w:val="002871A5"/>
    <w:rsid w:val="002B03F6"/>
    <w:rsid w:val="002B0CCF"/>
    <w:rsid w:val="002B3D7F"/>
    <w:rsid w:val="002D3318"/>
    <w:rsid w:val="002F21D8"/>
    <w:rsid w:val="002F5FB2"/>
    <w:rsid w:val="00302FF3"/>
    <w:rsid w:val="003041F6"/>
    <w:rsid w:val="00307F63"/>
    <w:rsid w:val="00312847"/>
    <w:rsid w:val="00315B38"/>
    <w:rsid w:val="003169FC"/>
    <w:rsid w:val="00320FD1"/>
    <w:rsid w:val="00336E64"/>
    <w:rsid w:val="00343F0A"/>
    <w:rsid w:val="00347CAD"/>
    <w:rsid w:val="00353B57"/>
    <w:rsid w:val="00361A79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28CD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2CEA"/>
    <w:rsid w:val="00483341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6691"/>
    <w:rsid w:val="004E6C68"/>
    <w:rsid w:val="004F5789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91E40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8CF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6557"/>
    <w:rsid w:val="008174F5"/>
    <w:rsid w:val="00820C64"/>
    <w:rsid w:val="00823C2A"/>
    <w:rsid w:val="00827512"/>
    <w:rsid w:val="00837E38"/>
    <w:rsid w:val="00844307"/>
    <w:rsid w:val="00844C24"/>
    <w:rsid w:val="00845F2F"/>
    <w:rsid w:val="008528DF"/>
    <w:rsid w:val="00856419"/>
    <w:rsid w:val="008571AF"/>
    <w:rsid w:val="00871C95"/>
    <w:rsid w:val="008720CF"/>
    <w:rsid w:val="00872F56"/>
    <w:rsid w:val="0087614A"/>
    <w:rsid w:val="008805D4"/>
    <w:rsid w:val="008903F6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3FE3"/>
    <w:rsid w:val="008F58F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45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2C52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749D"/>
    <w:rsid w:val="00AC0905"/>
    <w:rsid w:val="00AC40A5"/>
    <w:rsid w:val="00AD072C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3899"/>
    <w:rsid w:val="00B36333"/>
    <w:rsid w:val="00B37843"/>
    <w:rsid w:val="00B37CAE"/>
    <w:rsid w:val="00B5363F"/>
    <w:rsid w:val="00B54BE7"/>
    <w:rsid w:val="00B6050B"/>
    <w:rsid w:val="00B70CE3"/>
    <w:rsid w:val="00B9123E"/>
    <w:rsid w:val="00B96ABC"/>
    <w:rsid w:val="00B96D3D"/>
    <w:rsid w:val="00BA1B7F"/>
    <w:rsid w:val="00BA4C11"/>
    <w:rsid w:val="00BB640F"/>
    <w:rsid w:val="00BD1179"/>
    <w:rsid w:val="00BD449D"/>
    <w:rsid w:val="00BD7D85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34C86"/>
    <w:rsid w:val="00C4268F"/>
    <w:rsid w:val="00C45141"/>
    <w:rsid w:val="00C4621C"/>
    <w:rsid w:val="00C46990"/>
    <w:rsid w:val="00C46F24"/>
    <w:rsid w:val="00C47C77"/>
    <w:rsid w:val="00C5112B"/>
    <w:rsid w:val="00C5213B"/>
    <w:rsid w:val="00C5293F"/>
    <w:rsid w:val="00C52AB7"/>
    <w:rsid w:val="00C55F9E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34F3E"/>
    <w:rsid w:val="00D41E8C"/>
    <w:rsid w:val="00D67A98"/>
    <w:rsid w:val="00D71DF5"/>
    <w:rsid w:val="00D74F45"/>
    <w:rsid w:val="00D83807"/>
    <w:rsid w:val="00D84334"/>
    <w:rsid w:val="00D92B54"/>
    <w:rsid w:val="00D92EF7"/>
    <w:rsid w:val="00D9692D"/>
    <w:rsid w:val="00DA3BE8"/>
    <w:rsid w:val="00DB5FFB"/>
    <w:rsid w:val="00DC1293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3156"/>
    <w:rsid w:val="00E259D1"/>
    <w:rsid w:val="00E30D63"/>
    <w:rsid w:val="00E36E05"/>
    <w:rsid w:val="00E42648"/>
    <w:rsid w:val="00E42B75"/>
    <w:rsid w:val="00E4508E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65981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E923-583B-4379-8F00-DBA0714A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